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3795CA" w14:textId="77777777" w:rsidR="00527B70" w:rsidRDefault="00527B70" w:rsidP="00F61E29">
      <w:pPr>
        <w:jc w:val="center"/>
        <w:rPr>
          <w:rFonts w:ascii="Arial" w:hAnsi="Arial"/>
          <w:color w:val="808080" w:themeColor="background1" w:themeShade="80"/>
          <w:sz w:val="16"/>
          <w:szCs w:val="18"/>
        </w:rPr>
      </w:pPr>
    </w:p>
    <w:p w14:paraId="397A3A3A" w14:textId="77777777"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2118A6BA" w14:textId="6AA16D05" w:rsidR="00612FA3" w:rsidRPr="00862F60" w:rsidRDefault="00612FA3" w:rsidP="00527B70">
      <w:pPr>
        <w:jc w:val="center"/>
        <w:rPr>
          <w:rFonts w:ascii="Arial" w:hAnsi="Arial"/>
          <w:color w:val="808080" w:themeColor="background1" w:themeShade="80"/>
          <w:sz w:val="16"/>
          <w:szCs w:val="18"/>
        </w:rPr>
      </w:pPr>
    </w:p>
    <w:p w14:paraId="242F1DC9" w14:textId="4DE04E4E" w:rsidR="00515CDD" w:rsidRDefault="002E7E50" w:rsidP="00515CDD">
      <w:pPr>
        <w:tabs>
          <w:tab w:val="left" w:pos="270"/>
        </w:tabs>
        <w:spacing w:line="360" w:lineRule="auto"/>
        <w:jc w:val="right"/>
        <w:rPr>
          <w:rFonts w:ascii="Arial" w:hAnsi="Arial" w:cs="Arial"/>
          <w:b/>
          <w:color w:val="007AC2"/>
          <w:sz w:val="36"/>
        </w:rPr>
      </w:pPr>
      <w:r>
        <w:rPr>
          <w:rFonts w:ascii="Arial" w:hAnsi="Arial" w:cs="Arial"/>
          <w:b/>
          <w:noProof/>
          <w:color w:val="007AC2"/>
          <w:sz w:val="36"/>
        </w:rPr>
        <mc:AlternateContent>
          <mc:Choice Requires="wps">
            <w:drawing>
              <wp:anchor distT="0" distB="0" distL="114300" distR="114300" simplePos="0" relativeHeight="251659264" behindDoc="0" locked="0" layoutInCell="1" allowOverlap="1" wp14:anchorId="765CE7A2" wp14:editId="5F95EEEF">
                <wp:simplePos x="0" y="0"/>
                <wp:positionH relativeFrom="column">
                  <wp:posOffset>-518795</wp:posOffset>
                </wp:positionH>
                <wp:positionV relativeFrom="paragraph">
                  <wp:posOffset>101600</wp:posOffset>
                </wp:positionV>
                <wp:extent cx="2055495" cy="51371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055495" cy="5137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826C369" w14:textId="0E775EFA" w:rsidR="00515CDD" w:rsidRDefault="00515CDD">
                            <w:r>
                              <w:rPr>
                                <w:rFonts w:ascii="Helvetica" w:hAnsi="Helvetica" w:cs="Helvetica"/>
                                <w:noProof/>
                              </w:rPr>
                              <w:drawing>
                                <wp:inline distT="0" distB="0" distL="0" distR="0" wp14:anchorId="148345CF" wp14:editId="1D64F95C">
                                  <wp:extent cx="1732941" cy="4093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5575" cy="44067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5CE7A2" id="_x0000_t202" coordsize="21600,21600" o:spt="202" path="m0,0l0,21600,21600,21600,21600,0xe">
                <v:stroke joinstyle="miter"/>
                <v:path gradientshapeok="t" o:connecttype="rect"/>
              </v:shapetype>
              <v:shape id="Text Box 3" o:spid="_x0000_s1026" type="#_x0000_t202" style="position:absolute;left:0;text-align:left;margin-left:-40.85pt;margin-top:8pt;width:161.85pt;height:4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" filled="f" stroked="f">
                <v:textbox>
                  <w:txbxContent>
                    <w:p w14:paraId="1826C369" w14:textId="0E775EFA" w:rsidR="00515CDD" w:rsidRDefault="00515CDD">
                      <w:r>
                        <w:rPr>
                          <w:rFonts w:ascii="Helvetica" w:hAnsi="Helvetica" w:cs="Helvetica"/>
                          <w:noProof/>
                        </w:rPr>
                        <w:drawing>
                          <wp:inline distT="0" distB="0" distL="0" distR="0" wp14:anchorId="148345CF" wp14:editId="1D64F95C">
                            <wp:extent cx="1732941" cy="4093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5575" cy="440674"/>
                                    </a:xfrm>
                                    <a:prstGeom prst="rect">
                                      <a:avLst/>
                                    </a:prstGeom>
                                    <a:noFill/>
                                    <a:ln>
                                      <a:noFill/>
                                    </a:ln>
                                  </pic:spPr>
                                </pic:pic>
                              </a:graphicData>
                            </a:graphic>
                          </wp:inline>
                        </w:drawing>
                      </w:r>
                    </w:p>
                  </w:txbxContent>
                </v:textbox>
                <w10:wrap type="square"/>
              </v:shape>
            </w:pict>
          </mc:Fallback>
        </mc:AlternateContent>
      </w:r>
    </w:p>
    <w:p w14:paraId="602DBE62" w14:textId="77777777" w:rsidR="00515CDD" w:rsidRDefault="00515CDD" w:rsidP="00612FA3">
      <w:pPr>
        <w:tabs>
          <w:tab w:val="left" w:pos="270"/>
        </w:tabs>
        <w:spacing w:line="360" w:lineRule="auto"/>
        <w:jc w:val="center"/>
        <w:rPr>
          <w:rFonts w:ascii="Arial" w:hAnsi="Arial" w:cs="Arial"/>
          <w:b/>
          <w:color w:val="007AC2"/>
          <w:sz w:val="36"/>
        </w:rPr>
      </w:pPr>
    </w:p>
    <w:p w14:paraId="06854F4D" w14:textId="77777777" w:rsidR="00515CDD" w:rsidRPr="002E7E50" w:rsidRDefault="00515CDD" w:rsidP="00612FA3">
      <w:pPr>
        <w:tabs>
          <w:tab w:val="left" w:pos="270"/>
        </w:tabs>
        <w:spacing w:line="360" w:lineRule="auto"/>
        <w:jc w:val="center"/>
        <w:rPr>
          <w:rFonts w:ascii="Arial" w:hAnsi="Arial" w:cs="Arial"/>
          <w:b/>
          <w:color w:val="007AC2"/>
          <w:sz w:val="16"/>
        </w:rPr>
      </w:pPr>
    </w:p>
    <w:p w14:paraId="0ADEF47F" w14:textId="77777777" w:rsidR="00536EAB" w:rsidRPr="00932BDE" w:rsidRDefault="00932BDE" w:rsidP="00612FA3">
      <w:pPr>
        <w:tabs>
          <w:tab w:val="left" w:pos="270"/>
        </w:tabs>
        <w:spacing w:line="360" w:lineRule="auto"/>
        <w:jc w:val="center"/>
        <w:rPr>
          <w:rFonts w:ascii="Arial" w:hAnsi="Arial" w:cs="Arial"/>
          <w:b/>
          <w:i/>
          <w:color w:val="007AC2"/>
          <w:sz w:val="28"/>
        </w:rPr>
      </w:pPr>
      <w:r w:rsidRPr="00932BDE">
        <w:rPr>
          <w:rFonts w:ascii="Arial" w:hAnsi="Arial" w:cs="Arial"/>
          <w:b/>
          <w:color w:val="007AC2"/>
          <w:sz w:val="36"/>
        </w:rPr>
        <w:t xml:space="preserve">Bentley Systems and Topcon collaborate for </w:t>
      </w:r>
      <w:proofErr w:type="spellStart"/>
      <w:r w:rsidRPr="00932BDE">
        <w:rPr>
          <w:rFonts w:ascii="Arial" w:hAnsi="Arial" w:cs="Arial"/>
          <w:b/>
          <w:i/>
          <w:color w:val="007AC2"/>
          <w:sz w:val="36"/>
        </w:rPr>
        <w:t>Constructioneering</w:t>
      </w:r>
      <w:proofErr w:type="spellEnd"/>
      <w:r w:rsidRPr="00932BDE">
        <w:rPr>
          <w:rFonts w:ascii="Arial" w:hAnsi="Arial" w:cs="Arial"/>
          <w:b/>
          <w:i/>
          <w:color w:val="007AC2"/>
          <w:sz w:val="36"/>
        </w:rPr>
        <w:t xml:space="preserve"> Academy</w:t>
      </w:r>
      <w:r w:rsidRPr="00932BDE">
        <w:rPr>
          <w:rFonts w:ascii="Arial" w:hAnsi="Arial" w:cs="Arial"/>
          <w:b/>
          <w:color w:val="007AC2"/>
          <w:sz w:val="36"/>
        </w:rPr>
        <w:t xml:space="preserve"> initiative </w:t>
      </w:r>
      <w:r>
        <w:rPr>
          <w:rFonts w:ascii="Arial" w:hAnsi="Arial" w:cs="Arial"/>
          <w:b/>
          <w:color w:val="007AC2"/>
          <w:sz w:val="32"/>
        </w:rPr>
        <w:br/>
      </w:r>
      <w:r w:rsidRPr="00932BDE">
        <w:rPr>
          <w:rFonts w:ascii="Arial" w:hAnsi="Arial" w:cs="Arial"/>
          <w:i/>
          <w:color w:val="000000" w:themeColor="text1"/>
          <w:sz w:val="22"/>
        </w:rPr>
        <w:t>Companies join efforts to provide opportunities for construction professionals to learn best practices in integrated engineering and construction</w:t>
      </w:r>
    </w:p>
    <w:p w14:paraId="26565EB7" w14:textId="08956BD8" w:rsidR="00932BDE" w:rsidRPr="00932BDE" w:rsidRDefault="00932BDE" w:rsidP="00932BDE">
      <w:pPr>
        <w:rPr>
          <w:rFonts w:ascii="Arial" w:hAnsi="Arial" w:cs="Arial"/>
          <w:sz w:val="20"/>
          <w:szCs w:val="19"/>
        </w:rPr>
      </w:pPr>
      <w:r w:rsidRPr="00932BDE">
        <w:rPr>
          <w:rFonts w:ascii="Arial" w:hAnsi="Arial" w:cs="Arial"/>
          <w:i/>
          <w:iCs/>
          <w:sz w:val="20"/>
          <w:szCs w:val="19"/>
        </w:rPr>
        <w:t>SINGAPORE – The Year in Infrastructure 2017 Conference –</w:t>
      </w:r>
      <w:r w:rsidR="00F209D8">
        <w:rPr>
          <w:rFonts w:ascii="Arial" w:hAnsi="Arial" w:cs="Arial"/>
          <w:i/>
          <w:iCs/>
          <w:sz w:val="20"/>
          <w:szCs w:val="19"/>
        </w:rPr>
        <w:t xml:space="preserve"> </w:t>
      </w:r>
      <w:r w:rsidRPr="00932BDE">
        <w:rPr>
          <w:rFonts w:ascii="Arial" w:hAnsi="Arial" w:cs="Arial"/>
          <w:i/>
          <w:iCs/>
          <w:sz w:val="20"/>
          <w:szCs w:val="19"/>
        </w:rPr>
        <w:t xml:space="preserve">October </w:t>
      </w:r>
      <w:r w:rsidR="00F209D8">
        <w:rPr>
          <w:rFonts w:ascii="Arial" w:hAnsi="Arial" w:cs="Arial"/>
          <w:i/>
          <w:iCs/>
          <w:sz w:val="20"/>
          <w:szCs w:val="19"/>
        </w:rPr>
        <w:t xml:space="preserve">9, </w:t>
      </w:r>
      <w:r w:rsidRPr="00932BDE">
        <w:rPr>
          <w:rFonts w:ascii="Arial" w:hAnsi="Arial" w:cs="Arial"/>
          <w:i/>
          <w:iCs/>
          <w:sz w:val="20"/>
          <w:szCs w:val="19"/>
        </w:rPr>
        <w:t xml:space="preserve">2017 – </w:t>
      </w:r>
      <w:r w:rsidRPr="00932BDE">
        <w:rPr>
          <w:rFonts w:ascii="Arial" w:hAnsi="Arial" w:cs="Arial"/>
          <w:sz w:val="20"/>
          <w:szCs w:val="19"/>
        </w:rPr>
        <w:t xml:space="preserve">Topcon Positioning Systems, a world leader in positioning instruments for survey and construction, and Bentley Systems, a leading global provider of comprehensive software solutions for advancing infrastructure, announced today that they have joined efforts to provide opportunities for construction industry professionals to learn best practices in </w:t>
      </w:r>
      <w:proofErr w:type="spellStart"/>
      <w:r w:rsidRPr="00932BDE">
        <w:rPr>
          <w:rFonts w:ascii="Arial" w:hAnsi="Arial" w:cs="Arial"/>
          <w:sz w:val="20"/>
          <w:szCs w:val="19"/>
        </w:rPr>
        <w:t>constructioneering</w:t>
      </w:r>
      <w:proofErr w:type="spellEnd"/>
      <w:r w:rsidRPr="00932BDE">
        <w:rPr>
          <w:rFonts w:ascii="Arial" w:hAnsi="Arial" w:cs="Arial"/>
          <w:sz w:val="20"/>
          <w:szCs w:val="19"/>
        </w:rPr>
        <w:t xml:space="preserve">, a process of managing and integrating survey, engineering, and construction data, to streamline construction workflows and improve project </w:t>
      </w:r>
      <w:bookmarkStart w:id="0" w:name="_GoBack"/>
      <w:bookmarkEnd w:id="0"/>
      <w:r w:rsidRPr="00932BDE">
        <w:rPr>
          <w:rFonts w:ascii="Arial" w:hAnsi="Arial" w:cs="Arial"/>
          <w:sz w:val="20"/>
          <w:szCs w:val="19"/>
        </w:rPr>
        <w:t xml:space="preserve">delivery. </w:t>
      </w:r>
    </w:p>
    <w:p w14:paraId="5A7C5D42" w14:textId="77777777" w:rsidR="00932BDE" w:rsidRPr="00932BDE" w:rsidRDefault="00932BDE" w:rsidP="00932BDE">
      <w:pPr>
        <w:rPr>
          <w:rFonts w:ascii="Arial" w:hAnsi="Arial" w:cs="Arial"/>
          <w:sz w:val="20"/>
          <w:szCs w:val="19"/>
        </w:rPr>
      </w:pPr>
    </w:p>
    <w:p w14:paraId="70129174" w14:textId="77777777" w:rsidR="00932BDE" w:rsidRPr="00932BDE" w:rsidRDefault="00932BDE" w:rsidP="00932BDE">
      <w:pPr>
        <w:rPr>
          <w:rFonts w:ascii="Arial" w:hAnsi="Arial" w:cs="Arial"/>
          <w:sz w:val="20"/>
          <w:szCs w:val="19"/>
        </w:rPr>
      </w:pPr>
      <w:r w:rsidRPr="00932BDE">
        <w:rPr>
          <w:rFonts w:ascii="Arial" w:hAnsi="Arial" w:cs="Arial"/>
          <w:sz w:val="20"/>
          <w:szCs w:val="19"/>
        </w:rPr>
        <w:t>“The future of construction automation continues to move forward today with efforts like</w:t>
      </w:r>
      <w:r w:rsidR="00E72367">
        <w:rPr>
          <w:rFonts w:ascii="Arial" w:hAnsi="Arial" w:cs="Arial"/>
          <w:sz w:val="20"/>
          <w:szCs w:val="19"/>
        </w:rPr>
        <w:t xml:space="preserve"> </w:t>
      </w:r>
      <w:proofErr w:type="spellStart"/>
      <w:r w:rsidRPr="00932BDE">
        <w:rPr>
          <w:rFonts w:ascii="Arial" w:hAnsi="Arial" w:cs="Arial"/>
          <w:sz w:val="20"/>
          <w:szCs w:val="19"/>
        </w:rPr>
        <w:t>constructioneering</w:t>
      </w:r>
      <w:proofErr w:type="spellEnd"/>
      <w:r w:rsidRPr="00932BDE">
        <w:rPr>
          <w:rFonts w:ascii="Arial" w:hAnsi="Arial" w:cs="Arial"/>
          <w:sz w:val="20"/>
          <w:szCs w:val="19"/>
        </w:rPr>
        <w:t xml:space="preserve">. Together with Bentley we are helping reshape the traditional surveying, engineering, and construction workflows,” said Ray O’Connor, president and CEO of Topcon Positioning Systems. “Our efforts are proving successful in several phases of project delivery, particularly in road resurfacing, but the opportunities to expand its benefits are tremendous. That’s a big driver for creating the </w:t>
      </w:r>
      <w:proofErr w:type="spellStart"/>
      <w:r w:rsidRPr="00932BDE">
        <w:rPr>
          <w:rFonts w:ascii="Arial" w:hAnsi="Arial" w:cs="Arial"/>
          <w:sz w:val="20"/>
          <w:szCs w:val="19"/>
        </w:rPr>
        <w:t>Constructioneering</w:t>
      </w:r>
      <w:proofErr w:type="spellEnd"/>
      <w:r w:rsidRPr="00932BDE">
        <w:rPr>
          <w:rFonts w:ascii="Arial" w:hAnsi="Arial" w:cs="Arial"/>
          <w:sz w:val="20"/>
          <w:szCs w:val="19"/>
        </w:rPr>
        <w:t xml:space="preserve"> Academy.”</w:t>
      </w:r>
    </w:p>
    <w:p w14:paraId="1362FF3D" w14:textId="77777777" w:rsidR="00932BDE" w:rsidRPr="00932BDE" w:rsidRDefault="00932BDE" w:rsidP="00932BDE">
      <w:pPr>
        <w:rPr>
          <w:rFonts w:ascii="Arial" w:hAnsi="Arial" w:cs="Arial"/>
          <w:sz w:val="20"/>
          <w:szCs w:val="19"/>
        </w:rPr>
      </w:pPr>
    </w:p>
    <w:p w14:paraId="57E67072" w14:textId="77777777" w:rsidR="00932BDE" w:rsidRPr="00932BDE" w:rsidRDefault="00932BDE" w:rsidP="00932BDE">
      <w:pPr>
        <w:rPr>
          <w:rFonts w:ascii="Arial" w:hAnsi="Arial" w:cs="Arial"/>
          <w:sz w:val="20"/>
          <w:szCs w:val="19"/>
        </w:rPr>
      </w:pPr>
      <w:r w:rsidRPr="00932BDE">
        <w:rPr>
          <w:rFonts w:ascii="Arial" w:hAnsi="Arial" w:cs="Arial"/>
          <w:sz w:val="20"/>
          <w:szCs w:val="19"/>
        </w:rPr>
        <w:t xml:space="preserve">Bentley Systems’ CEO Greg Bentley said, “The growing momentum in demand for infrastructure project delivery across the world, against finite resources including an aging construction workforce, makes ‘going digital’ imperative.  We and Topcon, and early adopters of </w:t>
      </w:r>
      <w:proofErr w:type="spellStart"/>
      <w:r w:rsidRPr="00932BDE">
        <w:rPr>
          <w:rFonts w:ascii="Arial" w:hAnsi="Arial" w:cs="Arial"/>
          <w:sz w:val="20"/>
          <w:szCs w:val="19"/>
        </w:rPr>
        <w:t>constructioneering</w:t>
      </w:r>
      <w:proofErr w:type="spellEnd"/>
      <w:r w:rsidRPr="00932BDE">
        <w:rPr>
          <w:rFonts w:ascii="Arial" w:hAnsi="Arial" w:cs="Arial"/>
          <w:sz w:val="20"/>
          <w:szCs w:val="19"/>
        </w:rPr>
        <w:t xml:space="preserve"> over the past year, have become convinced that heavy civil construction can lead the way, starting by ‘industrializing BIM’ through digital workflows which make the work of surveyors, engineers, and constructors automated, continuous, and continuously more valuable, throughout the project lifecycle.  Also over the past year, we and Topcon have advanced our digital co-venture to jointly deliver </w:t>
      </w:r>
      <w:proofErr w:type="spellStart"/>
      <w:r w:rsidRPr="00932BDE">
        <w:rPr>
          <w:rFonts w:ascii="Arial" w:hAnsi="Arial" w:cs="Arial"/>
          <w:sz w:val="20"/>
          <w:szCs w:val="19"/>
        </w:rPr>
        <w:t>constructioneering</w:t>
      </w:r>
      <w:proofErr w:type="spellEnd"/>
      <w:r w:rsidRPr="00932BDE">
        <w:rPr>
          <w:rFonts w:ascii="Arial" w:hAnsi="Arial" w:cs="Arial"/>
          <w:sz w:val="20"/>
          <w:szCs w:val="19"/>
        </w:rPr>
        <w:t xml:space="preserve"> technologies through instant-on cloud services, federating our respective connected data environments and applications.  </w:t>
      </w:r>
    </w:p>
    <w:p w14:paraId="3E74A27A" w14:textId="77777777" w:rsidR="00932BDE" w:rsidRPr="00932BDE" w:rsidRDefault="00932BDE" w:rsidP="00932BDE">
      <w:pPr>
        <w:rPr>
          <w:rFonts w:ascii="Arial" w:hAnsi="Arial" w:cs="Arial"/>
          <w:sz w:val="20"/>
          <w:szCs w:val="19"/>
        </w:rPr>
      </w:pPr>
    </w:p>
    <w:p w14:paraId="1B89ECBA" w14:textId="77777777" w:rsidR="00932BDE" w:rsidRPr="00932BDE" w:rsidRDefault="00932BDE" w:rsidP="00932BDE">
      <w:pPr>
        <w:rPr>
          <w:rFonts w:ascii="Arial" w:hAnsi="Arial" w:cs="Arial"/>
          <w:sz w:val="20"/>
          <w:szCs w:val="19"/>
        </w:rPr>
      </w:pPr>
      <w:r w:rsidRPr="00932BDE">
        <w:rPr>
          <w:rFonts w:ascii="Arial" w:hAnsi="Arial" w:cs="Arial"/>
          <w:sz w:val="20"/>
          <w:szCs w:val="19"/>
        </w:rPr>
        <w:t xml:space="preserve">“The benefits of </w:t>
      </w:r>
      <w:proofErr w:type="spellStart"/>
      <w:r w:rsidRPr="00932BDE">
        <w:rPr>
          <w:rFonts w:ascii="Arial" w:hAnsi="Arial" w:cs="Arial"/>
          <w:sz w:val="20"/>
          <w:szCs w:val="19"/>
        </w:rPr>
        <w:t>constructioneering</w:t>
      </w:r>
      <w:proofErr w:type="spellEnd"/>
      <w:r w:rsidRPr="00932BDE">
        <w:rPr>
          <w:rFonts w:ascii="Arial" w:hAnsi="Arial" w:cs="Arial"/>
          <w:sz w:val="20"/>
          <w:szCs w:val="19"/>
        </w:rPr>
        <w:t>, with digital visibility into efficient and effective project outcomes, are so substantial that I believe civil infrastructure projects can finally become bankable, attracting abundant private financing to fill the funding gap.  The results can be significant—improved overall economic growth and quality of life!</w:t>
      </w:r>
    </w:p>
    <w:p w14:paraId="154B5D36" w14:textId="77777777" w:rsidR="00932BDE" w:rsidRPr="00932BDE" w:rsidRDefault="00932BDE" w:rsidP="00932BDE">
      <w:pPr>
        <w:rPr>
          <w:rFonts w:ascii="Arial" w:hAnsi="Arial" w:cs="Arial"/>
          <w:sz w:val="20"/>
          <w:szCs w:val="19"/>
        </w:rPr>
      </w:pPr>
    </w:p>
    <w:p w14:paraId="07439898" w14:textId="77777777" w:rsidR="00932BDE" w:rsidRPr="00932BDE" w:rsidRDefault="00932BDE" w:rsidP="00932BDE">
      <w:pPr>
        <w:rPr>
          <w:rFonts w:ascii="Arial" w:hAnsi="Arial" w:cs="Arial"/>
          <w:sz w:val="20"/>
          <w:szCs w:val="19"/>
        </w:rPr>
      </w:pPr>
      <w:r w:rsidRPr="00932BDE">
        <w:rPr>
          <w:rFonts w:ascii="Arial" w:hAnsi="Arial" w:cs="Arial"/>
          <w:sz w:val="20"/>
          <w:szCs w:val="19"/>
        </w:rPr>
        <w:t xml:space="preserve">“The challenge in going digital, now, is to motivate and empower the historically conservative engineering and contracting firms, so that people and processes can catch up with </w:t>
      </w:r>
      <w:proofErr w:type="spellStart"/>
      <w:r w:rsidRPr="00932BDE">
        <w:rPr>
          <w:rFonts w:ascii="Arial" w:hAnsi="Arial" w:cs="Arial"/>
          <w:sz w:val="20"/>
          <w:szCs w:val="19"/>
        </w:rPr>
        <w:t>constructioneering</w:t>
      </w:r>
      <w:proofErr w:type="spellEnd"/>
      <w:r w:rsidRPr="00932BDE">
        <w:rPr>
          <w:rFonts w:ascii="Arial" w:hAnsi="Arial" w:cs="Arial"/>
          <w:sz w:val="20"/>
          <w:szCs w:val="19"/>
        </w:rPr>
        <w:t xml:space="preserve"> technology acceleration.  We and Topcon enthusiastically accept this responsibility, and are pooling our experiences in promoting and sustaining digital advancement. At Bentley Systems, our Academy programs have helped major infrastructure owners to onboard their consultants, contractors, and supply chains into BIM and construction digital workflows which benefit every project delivery participant.  Topcon has likewise invested in advancing people and processes, and we look forward to applying the same resourcefulness and creativity in collaborating for </w:t>
      </w:r>
      <w:proofErr w:type="spellStart"/>
      <w:r w:rsidRPr="00932BDE">
        <w:rPr>
          <w:rFonts w:ascii="Arial" w:hAnsi="Arial" w:cs="Arial"/>
          <w:sz w:val="20"/>
          <w:szCs w:val="19"/>
        </w:rPr>
        <w:t>Constructioneering</w:t>
      </w:r>
      <w:proofErr w:type="spellEnd"/>
      <w:r w:rsidRPr="00932BDE">
        <w:rPr>
          <w:rFonts w:ascii="Arial" w:hAnsi="Arial" w:cs="Arial"/>
          <w:sz w:val="20"/>
          <w:szCs w:val="19"/>
        </w:rPr>
        <w:t xml:space="preserve"> Academies, as we have already successfully shown in our joint technical endeavors.”</w:t>
      </w:r>
    </w:p>
    <w:p w14:paraId="4741A6A2" w14:textId="77777777" w:rsidR="00932BDE" w:rsidRPr="00932BDE" w:rsidRDefault="00932BDE" w:rsidP="00932BDE">
      <w:pPr>
        <w:rPr>
          <w:rFonts w:ascii="Arial" w:hAnsi="Arial" w:cs="Arial"/>
          <w:sz w:val="20"/>
          <w:szCs w:val="19"/>
        </w:rPr>
      </w:pPr>
    </w:p>
    <w:p w14:paraId="3CA25D28" w14:textId="77777777" w:rsidR="00932BDE" w:rsidRPr="00932BDE" w:rsidRDefault="00932BDE" w:rsidP="00932BDE">
      <w:pPr>
        <w:rPr>
          <w:rFonts w:ascii="Arial" w:hAnsi="Arial" w:cs="Arial"/>
          <w:sz w:val="20"/>
          <w:szCs w:val="19"/>
        </w:rPr>
      </w:pPr>
      <w:proofErr w:type="spellStart"/>
      <w:r w:rsidRPr="00932BDE">
        <w:rPr>
          <w:rFonts w:ascii="Arial" w:hAnsi="Arial" w:cs="Arial"/>
          <w:sz w:val="20"/>
          <w:szCs w:val="19"/>
        </w:rPr>
        <w:t>Constructioneering</w:t>
      </w:r>
      <w:proofErr w:type="spellEnd"/>
      <w:r w:rsidRPr="00932BDE">
        <w:rPr>
          <w:rFonts w:ascii="Arial" w:hAnsi="Arial" w:cs="Arial"/>
          <w:sz w:val="20"/>
          <w:szCs w:val="19"/>
        </w:rPr>
        <w:t xml:space="preserve"> enables engineers to begin work with an accurate 3D model of current construction site conditions (as captured by Topcon’s UAS photogrammetry and laser scanners) which then can be processed into engineering-ready 3D reality meshes (by Bentley’s </w:t>
      </w:r>
      <w:proofErr w:type="spellStart"/>
      <w:r w:rsidRPr="00932BDE">
        <w:rPr>
          <w:rFonts w:ascii="Arial" w:hAnsi="Arial" w:cs="Arial"/>
          <w:sz w:val="20"/>
          <w:szCs w:val="19"/>
        </w:rPr>
        <w:t>ContextCapture</w:t>
      </w:r>
      <w:proofErr w:type="spellEnd"/>
      <w:r w:rsidRPr="00932BDE">
        <w:rPr>
          <w:rFonts w:ascii="Arial" w:hAnsi="Arial" w:cs="Arial"/>
          <w:sz w:val="20"/>
          <w:szCs w:val="19"/>
        </w:rPr>
        <w:t xml:space="preserve"> software). Cloud services convey the engineers’ work directly to construction processes in the field. The resulting digital engineering models work with the 3D machine control that guides construction machinery. Compared to traditional workflows between design and construction in which data in the digital engineering models is often lost and inefficiently recreated, </w:t>
      </w:r>
      <w:proofErr w:type="spellStart"/>
      <w:r w:rsidRPr="00932BDE">
        <w:rPr>
          <w:rFonts w:ascii="Arial" w:hAnsi="Arial" w:cs="Arial"/>
          <w:sz w:val="20"/>
          <w:szCs w:val="19"/>
        </w:rPr>
        <w:t>constructioneering</w:t>
      </w:r>
      <w:proofErr w:type="spellEnd"/>
      <w:r w:rsidRPr="00932BDE">
        <w:rPr>
          <w:rFonts w:ascii="Arial" w:hAnsi="Arial" w:cs="Arial"/>
          <w:sz w:val="20"/>
          <w:szCs w:val="19"/>
        </w:rPr>
        <w:t xml:space="preserve"> provides seamless integration for constructible models that offer real-time updates and data exchange for improved efficiency and cost reduction. Topcon and Bentley will collaborate to create the </w:t>
      </w:r>
      <w:proofErr w:type="spellStart"/>
      <w:r w:rsidRPr="00932BDE">
        <w:rPr>
          <w:rFonts w:ascii="Arial" w:hAnsi="Arial" w:cs="Arial"/>
          <w:sz w:val="20"/>
          <w:szCs w:val="19"/>
        </w:rPr>
        <w:t>Constructioneering</w:t>
      </w:r>
      <w:proofErr w:type="spellEnd"/>
      <w:r w:rsidRPr="00932BDE">
        <w:rPr>
          <w:rFonts w:ascii="Arial" w:hAnsi="Arial" w:cs="Arial"/>
          <w:sz w:val="20"/>
          <w:szCs w:val="19"/>
        </w:rPr>
        <w:t xml:space="preserve"> Academy curriculum which will be implemented through existing learning centers located in Livermore, California (Topcon), Houston, Texas, and London, UK (Bentley). </w:t>
      </w:r>
    </w:p>
    <w:p w14:paraId="3BDCAC3C" w14:textId="77777777" w:rsidR="00932BDE" w:rsidRPr="00932BDE" w:rsidRDefault="00932BDE" w:rsidP="00932BDE">
      <w:pPr>
        <w:rPr>
          <w:rFonts w:ascii="Arial" w:hAnsi="Arial" w:cs="Arial"/>
          <w:sz w:val="20"/>
          <w:szCs w:val="19"/>
        </w:rPr>
      </w:pPr>
    </w:p>
    <w:p w14:paraId="1BC8586F" w14:textId="77777777" w:rsidR="00932BDE" w:rsidRPr="00932BDE" w:rsidRDefault="00932BDE" w:rsidP="00932BDE">
      <w:pPr>
        <w:rPr>
          <w:rFonts w:ascii="Arial" w:hAnsi="Arial" w:cs="Arial"/>
          <w:sz w:val="20"/>
          <w:szCs w:val="19"/>
        </w:rPr>
      </w:pPr>
      <w:proofErr w:type="spellStart"/>
      <w:r w:rsidRPr="00932BDE">
        <w:rPr>
          <w:rFonts w:ascii="Arial" w:hAnsi="Arial" w:cs="Arial"/>
          <w:sz w:val="20"/>
          <w:szCs w:val="19"/>
        </w:rPr>
        <w:t>Vinayak</w:t>
      </w:r>
      <w:proofErr w:type="spellEnd"/>
      <w:r w:rsidRPr="00932BDE">
        <w:rPr>
          <w:rFonts w:ascii="Arial" w:hAnsi="Arial" w:cs="Arial"/>
          <w:sz w:val="20"/>
          <w:szCs w:val="19"/>
        </w:rPr>
        <w:t xml:space="preserve"> Trivedi, Bentley Institute vice president, commented, “The </w:t>
      </w:r>
      <w:proofErr w:type="spellStart"/>
      <w:r w:rsidRPr="00932BDE">
        <w:rPr>
          <w:rFonts w:ascii="Arial" w:hAnsi="Arial" w:cs="Arial"/>
          <w:sz w:val="20"/>
          <w:szCs w:val="19"/>
        </w:rPr>
        <w:t>constructioneering</w:t>
      </w:r>
      <w:proofErr w:type="spellEnd"/>
      <w:r w:rsidRPr="00932BDE">
        <w:rPr>
          <w:rFonts w:ascii="Arial" w:hAnsi="Arial" w:cs="Arial"/>
          <w:sz w:val="20"/>
          <w:szCs w:val="19"/>
        </w:rPr>
        <w:t xml:space="preserve"> collaboration with our digital co-</w:t>
      </w:r>
      <w:proofErr w:type="spellStart"/>
      <w:r w:rsidRPr="00932BDE">
        <w:rPr>
          <w:rFonts w:ascii="Arial" w:hAnsi="Arial" w:cs="Arial"/>
          <w:sz w:val="20"/>
          <w:szCs w:val="19"/>
        </w:rPr>
        <w:t>venturer</w:t>
      </w:r>
      <w:proofErr w:type="spellEnd"/>
      <w:r w:rsidRPr="00932BDE">
        <w:rPr>
          <w:rFonts w:ascii="Arial" w:hAnsi="Arial" w:cs="Arial"/>
          <w:sz w:val="20"/>
          <w:szCs w:val="19"/>
        </w:rPr>
        <w:t xml:space="preserve"> Topcon will appropriately extend our successful program of global Academies for sharing advancements to help user organizations and their supply chains in going digital. We will be opening new Academy locations in the coming months in Pune, India; in Dubai, UAE; and in Beijing, China.  Along with supporting Topcon’s training centers, our priorities also include virtualizing </w:t>
      </w:r>
      <w:proofErr w:type="spellStart"/>
      <w:r w:rsidRPr="00932BDE">
        <w:rPr>
          <w:rFonts w:ascii="Arial" w:hAnsi="Arial" w:cs="Arial"/>
          <w:sz w:val="20"/>
          <w:szCs w:val="19"/>
        </w:rPr>
        <w:t>Constructioneering</w:t>
      </w:r>
      <w:proofErr w:type="spellEnd"/>
      <w:r w:rsidRPr="00932BDE">
        <w:rPr>
          <w:rFonts w:ascii="Arial" w:hAnsi="Arial" w:cs="Arial"/>
          <w:sz w:val="20"/>
          <w:szCs w:val="19"/>
        </w:rPr>
        <w:t xml:space="preserve"> Academy offerings through universities with leading construction degree programs.”</w:t>
      </w:r>
    </w:p>
    <w:p w14:paraId="6FF55D9B" w14:textId="77777777" w:rsidR="00932BDE" w:rsidRPr="00932BDE" w:rsidRDefault="00932BDE" w:rsidP="00932BDE">
      <w:pPr>
        <w:rPr>
          <w:rFonts w:ascii="Arial" w:hAnsi="Arial" w:cs="Arial"/>
          <w:sz w:val="20"/>
          <w:szCs w:val="19"/>
        </w:rPr>
      </w:pPr>
    </w:p>
    <w:p w14:paraId="331507DC" w14:textId="77777777" w:rsidR="00937F53" w:rsidRPr="00862F60" w:rsidRDefault="00937F53" w:rsidP="008223E1">
      <w:pPr>
        <w:rPr>
          <w:rFonts w:ascii="Arial" w:hAnsi="Arial" w:cs="Arial"/>
          <w:b/>
          <w:color w:val="808080" w:themeColor="background1" w:themeShade="80"/>
          <w:sz w:val="19"/>
          <w:szCs w:val="19"/>
        </w:rPr>
      </w:pPr>
    </w:p>
    <w:p w14:paraId="48DB42D6" w14:textId="77777777" w:rsidR="00932BDE" w:rsidRPr="00932BDE" w:rsidRDefault="00932BDE" w:rsidP="00932BDE">
      <w:pPr>
        <w:rPr>
          <w:rFonts w:ascii="Arial" w:hAnsi="Arial" w:cs="Arial"/>
          <w:b/>
          <w:color w:val="808080" w:themeColor="background1" w:themeShade="80"/>
          <w:sz w:val="15"/>
          <w:szCs w:val="13"/>
        </w:rPr>
      </w:pPr>
      <w:r w:rsidRPr="00932BDE">
        <w:rPr>
          <w:rFonts w:ascii="Arial" w:hAnsi="Arial" w:cs="Arial"/>
          <w:b/>
          <w:color w:val="808080" w:themeColor="background1" w:themeShade="80"/>
          <w:sz w:val="15"/>
          <w:szCs w:val="13"/>
        </w:rPr>
        <w:t>About Digital Co-Ventures</w:t>
      </w:r>
    </w:p>
    <w:p w14:paraId="1E9FE343" w14:textId="77777777" w:rsidR="00932BDE" w:rsidRPr="00932BDE" w:rsidRDefault="00932BDE" w:rsidP="00932BDE">
      <w:pPr>
        <w:rPr>
          <w:rFonts w:ascii="Arial" w:hAnsi="Arial" w:cs="Arial"/>
          <w:color w:val="808080" w:themeColor="background1" w:themeShade="80"/>
          <w:sz w:val="15"/>
          <w:szCs w:val="13"/>
        </w:rPr>
      </w:pPr>
      <w:r w:rsidRPr="00932BDE">
        <w:rPr>
          <w:rFonts w:ascii="Arial" w:hAnsi="Arial" w:cs="Arial"/>
          <w:color w:val="808080" w:themeColor="background1" w:themeShade="80"/>
          <w:sz w:val="15"/>
          <w:szCs w:val="13"/>
        </w:rPr>
        <w:t xml:space="preserve">Bentley Systems is undertaking to cooperate with other significant participants in the infrastructure asset supply chain, to accelerate benefits from </w:t>
      </w:r>
      <w:r w:rsidRPr="00932BDE">
        <w:rPr>
          <w:rFonts w:ascii="Arial" w:hAnsi="Arial" w:cs="Arial"/>
          <w:i/>
          <w:color w:val="808080" w:themeColor="background1" w:themeShade="80"/>
          <w:sz w:val="15"/>
          <w:szCs w:val="13"/>
        </w:rPr>
        <w:t>going digital</w:t>
      </w:r>
      <w:r w:rsidRPr="00932BDE">
        <w:rPr>
          <w:rFonts w:ascii="Arial" w:hAnsi="Arial" w:cs="Arial"/>
          <w:color w:val="808080" w:themeColor="background1" w:themeShade="80"/>
          <w:sz w:val="15"/>
          <w:szCs w:val="13"/>
        </w:rPr>
        <w:t>.  The parties work together to assure that their respective cloud services uniquely federate and interoperate effectively to deliver transformative digital workflows.  Each digital co-</w:t>
      </w:r>
      <w:proofErr w:type="spellStart"/>
      <w:r w:rsidRPr="00932BDE">
        <w:rPr>
          <w:rFonts w:ascii="Arial" w:hAnsi="Arial" w:cs="Arial"/>
          <w:color w:val="808080" w:themeColor="background1" w:themeShade="80"/>
          <w:sz w:val="15"/>
          <w:szCs w:val="13"/>
        </w:rPr>
        <w:t>venturers</w:t>
      </w:r>
      <w:proofErr w:type="spellEnd"/>
      <w:r w:rsidRPr="00932BDE">
        <w:rPr>
          <w:rFonts w:ascii="Arial" w:hAnsi="Arial" w:cs="Arial"/>
          <w:color w:val="808080" w:themeColor="background1" w:themeShade="80"/>
          <w:sz w:val="15"/>
          <w:szCs w:val="13"/>
        </w:rPr>
        <w:t xml:space="preserve"> can then bundle offerings which include the cloud services of both.  Current digital co-</w:t>
      </w:r>
      <w:proofErr w:type="spellStart"/>
      <w:r w:rsidRPr="00932BDE">
        <w:rPr>
          <w:rFonts w:ascii="Arial" w:hAnsi="Arial" w:cs="Arial"/>
          <w:color w:val="808080" w:themeColor="background1" w:themeShade="80"/>
          <w:sz w:val="15"/>
          <w:szCs w:val="13"/>
        </w:rPr>
        <w:t>venturers</w:t>
      </w:r>
      <w:proofErr w:type="spellEnd"/>
      <w:r w:rsidRPr="00932BDE">
        <w:rPr>
          <w:rFonts w:ascii="Arial" w:hAnsi="Arial" w:cs="Arial"/>
          <w:color w:val="808080" w:themeColor="background1" w:themeShade="80"/>
          <w:sz w:val="15"/>
          <w:szCs w:val="13"/>
        </w:rPr>
        <w:t xml:space="preserve"> are Microsoft, Siemens, Topcon and Bureau Veritas.</w:t>
      </w:r>
    </w:p>
    <w:p w14:paraId="76DE3ACF" w14:textId="77777777" w:rsidR="00932BDE" w:rsidRPr="00932BDE" w:rsidRDefault="00932BDE" w:rsidP="00932BDE">
      <w:pPr>
        <w:rPr>
          <w:rFonts w:ascii="Arial" w:hAnsi="Arial" w:cs="Arial"/>
          <w:b/>
          <w:color w:val="808080" w:themeColor="background1" w:themeShade="80"/>
          <w:sz w:val="15"/>
          <w:szCs w:val="13"/>
        </w:rPr>
      </w:pPr>
    </w:p>
    <w:p w14:paraId="4682FD40" w14:textId="77777777" w:rsidR="00932BDE" w:rsidRPr="00932BDE" w:rsidRDefault="00932BDE" w:rsidP="00932BDE">
      <w:pPr>
        <w:rPr>
          <w:rFonts w:ascii="Arial" w:hAnsi="Arial" w:cs="Arial"/>
          <w:b/>
          <w:color w:val="808080" w:themeColor="background1" w:themeShade="80"/>
          <w:sz w:val="15"/>
          <w:szCs w:val="13"/>
        </w:rPr>
      </w:pPr>
      <w:r w:rsidRPr="00932BDE">
        <w:rPr>
          <w:rFonts w:ascii="Arial" w:hAnsi="Arial" w:cs="Arial"/>
          <w:b/>
          <w:color w:val="808080" w:themeColor="background1" w:themeShade="80"/>
          <w:sz w:val="15"/>
          <w:szCs w:val="13"/>
        </w:rPr>
        <w:t>About Topcon</w:t>
      </w:r>
    </w:p>
    <w:p w14:paraId="2A3A6960" w14:textId="77777777" w:rsidR="00932BDE" w:rsidRPr="00932BDE" w:rsidRDefault="00932BDE" w:rsidP="00932BDE">
      <w:pPr>
        <w:rPr>
          <w:rFonts w:ascii="Arial" w:hAnsi="Arial" w:cs="Arial"/>
          <w:b/>
          <w:color w:val="808080" w:themeColor="background1" w:themeShade="80"/>
          <w:sz w:val="15"/>
          <w:szCs w:val="13"/>
        </w:rPr>
      </w:pPr>
      <w:r w:rsidRPr="00932BDE">
        <w:rPr>
          <w:rFonts w:ascii="Arial" w:hAnsi="Arial" w:cs="Arial"/>
          <w:color w:val="808080" w:themeColor="background1" w:themeShade="80"/>
          <w:sz w:val="15"/>
          <w:szCs w:val="13"/>
        </w:rPr>
        <w:t>Topcon Positioning Group is headquartered in Livermore, California, U.S. (</w:t>
      </w:r>
      <w:hyperlink r:id="rId10" w:history="1">
        <w:r w:rsidRPr="00932BDE">
          <w:rPr>
            <w:rStyle w:val="Hyperlink"/>
            <w:rFonts w:ascii="Arial" w:hAnsi="Arial" w:cs="Arial"/>
            <w:sz w:val="15"/>
            <w:szCs w:val="13"/>
          </w:rPr>
          <w:t>topconpositioning.com</w:t>
        </w:r>
      </w:hyperlink>
      <w:r w:rsidRPr="00932BDE">
        <w:rPr>
          <w:rFonts w:ascii="Arial" w:hAnsi="Arial" w:cs="Arial"/>
          <w:color w:val="808080" w:themeColor="background1" w:themeShade="80"/>
          <w:sz w:val="15"/>
          <w:szCs w:val="13"/>
        </w:rPr>
        <w:t xml:space="preserve">). Its European head office is in </w:t>
      </w:r>
      <w:proofErr w:type="spellStart"/>
      <w:r w:rsidRPr="00932BDE">
        <w:rPr>
          <w:rFonts w:ascii="Arial" w:hAnsi="Arial" w:cs="Arial"/>
          <w:color w:val="808080" w:themeColor="background1" w:themeShade="80"/>
          <w:sz w:val="15"/>
          <w:szCs w:val="13"/>
        </w:rPr>
        <w:t>Capelle</w:t>
      </w:r>
      <w:proofErr w:type="spellEnd"/>
      <w:r w:rsidRPr="00932BDE">
        <w:rPr>
          <w:rFonts w:ascii="Arial" w:hAnsi="Arial" w:cs="Arial"/>
          <w:color w:val="808080" w:themeColor="background1" w:themeShade="80"/>
          <w:sz w:val="15"/>
          <w:szCs w:val="13"/>
        </w:rPr>
        <w:t xml:space="preserve"> </w:t>
      </w:r>
      <w:proofErr w:type="spellStart"/>
      <w:r w:rsidRPr="00932BDE">
        <w:rPr>
          <w:rFonts w:ascii="Arial" w:hAnsi="Arial" w:cs="Arial"/>
          <w:color w:val="808080" w:themeColor="background1" w:themeShade="80"/>
          <w:sz w:val="15"/>
          <w:szCs w:val="13"/>
        </w:rPr>
        <w:t>a/d</w:t>
      </w:r>
      <w:proofErr w:type="spellEnd"/>
      <w:r w:rsidRPr="00932BDE">
        <w:rPr>
          <w:rFonts w:ascii="Arial" w:hAnsi="Arial" w:cs="Arial"/>
          <w:color w:val="808080" w:themeColor="background1" w:themeShade="80"/>
          <w:sz w:val="15"/>
          <w:szCs w:val="13"/>
        </w:rPr>
        <w:t xml:space="preserve"> </w:t>
      </w:r>
      <w:proofErr w:type="spellStart"/>
      <w:r w:rsidRPr="00932BDE">
        <w:rPr>
          <w:rFonts w:ascii="Arial" w:hAnsi="Arial" w:cs="Arial"/>
          <w:color w:val="808080" w:themeColor="background1" w:themeShade="80"/>
          <w:sz w:val="15"/>
          <w:szCs w:val="13"/>
        </w:rPr>
        <w:t>IJssel</w:t>
      </w:r>
      <w:proofErr w:type="spellEnd"/>
      <w:r w:rsidRPr="00932BDE">
        <w:rPr>
          <w:rFonts w:ascii="Arial" w:hAnsi="Arial" w:cs="Arial"/>
          <w:color w:val="808080" w:themeColor="background1" w:themeShade="80"/>
          <w:sz w:val="15"/>
          <w:szCs w:val="13"/>
        </w:rPr>
        <w:t>,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1" w:history="1">
        <w:r w:rsidRPr="00932BDE">
          <w:rPr>
            <w:rStyle w:val="Hyperlink"/>
            <w:rFonts w:ascii="Arial" w:hAnsi="Arial" w:cs="Arial"/>
            <w:sz w:val="15"/>
            <w:szCs w:val="13"/>
          </w:rPr>
          <w:t>topcon.com</w:t>
        </w:r>
      </w:hyperlink>
      <w:r w:rsidRPr="00932BDE">
        <w:rPr>
          <w:rFonts w:ascii="Arial" w:hAnsi="Arial" w:cs="Arial"/>
          <w:color w:val="808080" w:themeColor="background1" w:themeShade="80"/>
          <w:sz w:val="15"/>
          <w:szCs w:val="13"/>
        </w:rPr>
        <w:t>), founded in 1932, is traded on the Tokyo Stock Exchange (7732). </w:t>
      </w:r>
    </w:p>
    <w:p w14:paraId="1DE95BA6" w14:textId="77777777" w:rsidR="00932BDE" w:rsidRPr="00932BDE" w:rsidRDefault="00932BDE" w:rsidP="00932BDE">
      <w:pPr>
        <w:rPr>
          <w:rFonts w:ascii="Arial" w:hAnsi="Arial" w:cs="Arial"/>
          <w:color w:val="808080" w:themeColor="background1" w:themeShade="80"/>
          <w:sz w:val="15"/>
          <w:szCs w:val="13"/>
        </w:rPr>
      </w:pPr>
    </w:p>
    <w:p w14:paraId="1C6DA5A1" w14:textId="77777777" w:rsidR="00932BDE" w:rsidRPr="00932BDE" w:rsidRDefault="00932BDE" w:rsidP="00932BDE">
      <w:pPr>
        <w:rPr>
          <w:rFonts w:ascii="Arial" w:hAnsi="Arial" w:cs="Arial"/>
          <w:b/>
          <w:color w:val="808080" w:themeColor="background1" w:themeShade="80"/>
          <w:sz w:val="15"/>
          <w:szCs w:val="13"/>
        </w:rPr>
      </w:pPr>
      <w:r w:rsidRPr="00932BDE">
        <w:rPr>
          <w:rFonts w:ascii="Arial" w:hAnsi="Arial" w:cs="Arial"/>
          <w:b/>
          <w:color w:val="808080" w:themeColor="background1" w:themeShade="80"/>
          <w:sz w:val="15"/>
          <w:szCs w:val="13"/>
        </w:rPr>
        <w:t>About Bentley Systems</w:t>
      </w:r>
    </w:p>
    <w:p w14:paraId="3577DF6A" w14:textId="77777777" w:rsidR="00932BDE" w:rsidRPr="00932BDE" w:rsidRDefault="00932BDE" w:rsidP="00932BDE">
      <w:pPr>
        <w:rPr>
          <w:rFonts w:ascii="Arial" w:hAnsi="Arial" w:cs="Arial"/>
          <w:color w:val="808080" w:themeColor="background1" w:themeShade="80"/>
          <w:sz w:val="15"/>
          <w:szCs w:val="13"/>
        </w:rPr>
      </w:pPr>
      <w:r w:rsidRPr="00932BDE">
        <w:rPr>
          <w:rFonts w:ascii="Arial" w:hAnsi="Arial" w:cs="Arial"/>
          <w:color w:val="808080" w:themeColor="background1" w:themeShade="80"/>
          <w:sz w:val="15"/>
          <w:szCs w:val="13"/>
        </w:rPr>
        <w:t xml:space="preserve">Bentley Systems is a global leader in providing engineers, architects, geospatial professionals, constructors, and owner-operators with comprehensive software solutions for advancing the design, construction, and operations of infrastructure. Bentley users leverage information mobility across disciplines and throughout the infrastructure lifecycle to deliver better-performing projects and assets. Bentley solutions encompass </w:t>
      </w:r>
      <w:proofErr w:type="spellStart"/>
      <w:r w:rsidRPr="00932BDE">
        <w:rPr>
          <w:rFonts w:ascii="Arial" w:hAnsi="Arial" w:cs="Arial"/>
          <w:i/>
          <w:color w:val="808080" w:themeColor="background1" w:themeShade="80"/>
          <w:sz w:val="15"/>
          <w:szCs w:val="13"/>
        </w:rPr>
        <w:t>MicroStation</w:t>
      </w:r>
      <w:proofErr w:type="spellEnd"/>
      <w:r w:rsidRPr="00932BDE">
        <w:rPr>
          <w:rFonts w:ascii="Arial" w:hAnsi="Arial" w:cs="Arial"/>
          <w:color w:val="808080" w:themeColor="background1" w:themeShade="80"/>
          <w:sz w:val="15"/>
          <w:szCs w:val="13"/>
        </w:rPr>
        <w:t xml:space="preserve"> applications for </w:t>
      </w:r>
      <w:r w:rsidRPr="00932BDE">
        <w:rPr>
          <w:rFonts w:ascii="Arial" w:hAnsi="Arial" w:cs="Arial"/>
          <w:i/>
          <w:color w:val="808080" w:themeColor="background1" w:themeShade="80"/>
          <w:sz w:val="15"/>
          <w:szCs w:val="13"/>
        </w:rPr>
        <w:t>information modeling</w:t>
      </w:r>
      <w:r w:rsidRPr="00932BDE">
        <w:rPr>
          <w:rFonts w:ascii="Arial" w:hAnsi="Arial" w:cs="Arial"/>
          <w:color w:val="808080" w:themeColor="background1" w:themeShade="80"/>
          <w:sz w:val="15"/>
          <w:szCs w:val="13"/>
        </w:rPr>
        <w:t xml:space="preserve">, </w:t>
      </w:r>
      <w:r w:rsidRPr="00932BDE">
        <w:rPr>
          <w:rFonts w:ascii="Arial" w:hAnsi="Arial" w:cs="Arial"/>
          <w:i/>
          <w:color w:val="808080" w:themeColor="background1" w:themeShade="80"/>
          <w:sz w:val="15"/>
          <w:szCs w:val="13"/>
        </w:rPr>
        <w:t>ProjectWise</w:t>
      </w:r>
      <w:r w:rsidRPr="00932BDE">
        <w:rPr>
          <w:rFonts w:ascii="Arial" w:hAnsi="Arial" w:cs="Arial"/>
          <w:color w:val="808080" w:themeColor="background1" w:themeShade="80"/>
          <w:sz w:val="15"/>
          <w:szCs w:val="13"/>
        </w:rPr>
        <w:t xml:space="preserve"> collaboration services to deliver </w:t>
      </w:r>
      <w:r w:rsidRPr="00932BDE">
        <w:rPr>
          <w:rFonts w:ascii="Arial" w:hAnsi="Arial" w:cs="Arial"/>
          <w:i/>
          <w:color w:val="808080" w:themeColor="background1" w:themeShade="80"/>
          <w:sz w:val="15"/>
          <w:szCs w:val="13"/>
        </w:rPr>
        <w:t>integrated projects</w:t>
      </w:r>
      <w:r w:rsidRPr="00932BDE">
        <w:rPr>
          <w:rFonts w:ascii="Arial" w:hAnsi="Arial" w:cs="Arial"/>
          <w:color w:val="808080" w:themeColor="background1" w:themeShade="80"/>
          <w:sz w:val="15"/>
          <w:szCs w:val="13"/>
        </w:rPr>
        <w:t xml:space="preserve">, and </w:t>
      </w:r>
      <w:r w:rsidRPr="00932BDE">
        <w:rPr>
          <w:rFonts w:ascii="Arial" w:hAnsi="Arial" w:cs="Arial"/>
          <w:i/>
          <w:color w:val="808080" w:themeColor="background1" w:themeShade="80"/>
          <w:sz w:val="15"/>
          <w:szCs w:val="13"/>
        </w:rPr>
        <w:t>AssetWise</w:t>
      </w:r>
      <w:r w:rsidRPr="00932BDE">
        <w:rPr>
          <w:rFonts w:ascii="Arial" w:hAnsi="Arial" w:cs="Arial"/>
          <w:color w:val="808080" w:themeColor="background1" w:themeShade="80"/>
          <w:sz w:val="15"/>
          <w:szCs w:val="13"/>
        </w:rPr>
        <w:t xml:space="preserve"> operations services to achieve </w:t>
      </w:r>
      <w:r w:rsidRPr="00932BDE">
        <w:rPr>
          <w:rFonts w:ascii="Arial" w:hAnsi="Arial" w:cs="Arial"/>
          <w:i/>
          <w:color w:val="808080" w:themeColor="background1" w:themeShade="80"/>
          <w:sz w:val="15"/>
          <w:szCs w:val="13"/>
        </w:rPr>
        <w:t>intelligent infrastructure</w:t>
      </w:r>
      <w:r w:rsidRPr="00932BDE">
        <w:rPr>
          <w:rFonts w:ascii="Arial" w:hAnsi="Arial" w:cs="Arial"/>
          <w:color w:val="808080" w:themeColor="background1" w:themeShade="80"/>
          <w:sz w:val="15"/>
          <w:szCs w:val="13"/>
        </w:rPr>
        <w:t xml:space="preserve"> – complemented by comprehensive managed services offered through customized Success Plans. </w:t>
      </w:r>
    </w:p>
    <w:p w14:paraId="52C2BBC0" w14:textId="77777777" w:rsidR="00932BDE" w:rsidRPr="00932BDE" w:rsidRDefault="00932BDE" w:rsidP="00932BDE">
      <w:pPr>
        <w:rPr>
          <w:rFonts w:ascii="Arial" w:hAnsi="Arial" w:cs="Arial"/>
          <w:color w:val="808080" w:themeColor="background1" w:themeShade="80"/>
          <w:sz w:val="15"/>
          <w:szCs w:val="13"/>
        </w:rPr>
      </w:pPr>
    </w:p>
    <w:p w14:paraId="13A99137" w14:textId="77777777" w:rsidR="00932BDE" w:rsidRPr="00932BDE" w:rsidRDefault="00932BDE" w:rsidP="00932BDE">
      <w:pPr>
        <w:rPr>
          <w:rFonts w:ascii="Arial" w:hAnsi="Arial" w:cs="Arial"/>
          <w:color w:val="808080" w:themeColor="background1" w:themeShade="80"/>
          <w:sz w:val="15"/>
          <w:szCs w:val="13"/>
        </w:rPr>
      </w:pPr>
      <w:r w:rsidRPr="00932BDE">
        <w:rPr>
          <w:rFonts w:ascii="Arial" w:hAnsi="Arial" w:cs="Arial"/>
          <w:color w:val="808080" w:themeColor="background1" w:themeShade="80"/>
          <w:sz w:val="15"/>
          <w:szCs w:val="13"/>
        </w:rPr>
        <w:t xml:space="preserve">Founded in 1984, Bentley has more than 3,000 colleagues in over 50 countries, more than $600 million in annual revenues, and since 2011 has invested more than $1 billion in research, development, and acquisitions. </w:t>
      </w:r>
    </w:p>
    <w:p w14:paraId="6B34A400" w14:textId="77777777" w:rsidR="00932BDE" w:rsidRPr="00932BDE" w:rsidRDefault="00932BDE" w:rsidP="00932BDE">
      <w:pPr>
        <w:rPr>
          <w:rFonts w:ascii="Arial" w:hAnsi="Arial" w:cs="Arial"/>
          <w:color w:val="808080" w:themeColor="background1" w:themeShade="80"/>
          <w:sz w:val="15"/>
          <w:szCs w:val="13"/>
        </w:rPr>
      </w:pPr>
    </w:p>
    <w:p w14:paraId="5D84769B" w14:textId="77777777" w:rsidR="00932BDE" w:rsidRPr="00932BDE" w:rsidRDefault="00932BDE" w:rsidP="00932BDE">
      <w:pPr>
        <w:rPr>
          <w:rFonts w:ascii="Arial" w:hAnsi="Arial" w:cs="Arial"/>
          <w:iCs/>
          <w:color w:val="808080" w:themeColor="background1" w:themeShade="80"/>
          <w:sz w:val="15"/>
          <w:szCs w:val="13"/>
        </w:rPr>
      </w:pPr>
      <w:r w:rsidRPr="00932BDE">
        <w:rPr>
          <w:rFonts w:ascii="Arial" w:hAnsi="Arial" w:cs="Arial"/>
          <w:color w:val="808080" w:themeColor="background1" w:themeShade="80"/>
          <w:sz w:val="15"/>
          <w:szCs w:val="13"/>
        </w:rPr>
        <w:t xml:space="preserve">Additional information about Bentley is available at </w:t>
      </w:r>
      <w:hyperlink r:id="rId12" w:history="1">
        <w:r w:rsidRPr="00932BDE">
          <w:rPr>
            <w:rStyle w:val="Hyperlink"/>
            <w:rFonts w:ascii="Arial" w:hAnsi="Arial" w:cs="Arial"/>
            <w:sz w:val="15"/>
            <w:szCs w:val="13"/>
          </w:rPr>
          <w:t>www.bentley.com</w:t>
        </w:r>
      </w:hyperlink>
      <w:r w:rsidRPr="00932BDE">
        <w:rPr>
          <w:rFonts w:ascii="Arial" w:hAnsi="Arial" w:cs="Arial"/>
          <w:color w:val="808080" w:themeColor="background1" w:themeShade="80"/>
          <w:sz w:val="15"/>
          <w:szCs w:val="13"/>
        </w:rPr>
        <w:t xml:space="preserve">. For Bentley news as it happens, subscribe to an </w:t>
      </w:r>
      <w:hyperlink r:id="rId13" w:history="1">
        <w:r w:rsidRPr="00932BDE">
          <w:rPr>
            <w:rStyle w:val="Hyperlink"/>
            <w:rFonts w:ascii="Arial" w:hAnsi="Arial" w:cs="Arial"/>
            <w:sz w:val="15"/>
            <w:szCs w:val="13"/>
          </w:rPr>
          <w:t>RSS feed</w:t>
        </w:r>
      </w:hyperlink>
      <w:r w:rsidRPr="00932BDE">
        <w:rPr>
          <w:rFonts w:ascii="Arial" w:hAnsi="Arial" w:cs="Arial"/>
          <w:color w:val="808080" w:themeColor="background1" w:themeShade="80"/>
          <w:sz w:val="15"/>
          <w:szCs w:val="13"/>
        </w:rPr>
        <w:t xml:space="preserve"> of Bentley press releases and news alerts. Visit </w:t>
      </w:r>
      <w:hyperlink r:id="rId14" w:history="1">
        <w:r w:rsidRPr="00932BDE">
          <w:rPr>
            <w:rStyle w:val="Hyperlink"/>
            <w:rFonts w:ascii="Arial" w:hAnsi="Arial" w:cs="Arial"/>
            <w:sz w:val="15"/>
            <w:szCs w:val="13"/>
          </w:rPr>
          <w:t xml:space="preserve">The </w:t>
        </w:r>
        <w:r w:rsidRPr="00932BDE">
          <w:rPr>
            <w:rStyle w:val="Hyperlink"/>
            <w:rFonts w:ascii="Arial" w:hAnsi="Arial" w:cs="Arial"/>
            <w:i/>
            <w:sz w:val="15"/>
            <w:szCs w:val="13"/>
          </w:rPr>
          <w:t>Year in Infrastructure</w:t>
        </w:r>
        <w:r w:rsidRPr="00932BDE">
          <w:rPr>
            <w:rStyle w:val="Hyperlink"/>
            <w:rFonts w:ascii="Arial" w:hAnsi="Arial" w:cs="Arial"/>
            <w:sz w:val="15"/>
            <w:szCs w:val="13"/>
          </w:rPr>
          <w:t xml:space="preserve"> Conference</w:t>
        </w:r>
      </w:hyperlink>
      <w:r w:rsidRPr="00932BDE">
        <w:rPr>
          <w:rFonts w:ascii="Arial" w:hAnsi="Arial" w:cs="Arial"/>
          <w:color w:val="808080" w:themeColor="background1" w:themeShade="80"/>
          <w:sz w:val="15"/>
          <w:szCs w:val="13"/>
        </w:rPr>
        <w:t xml:space="preserve"> website for information on Bentley’s premier thought-leadership event. To view a searchable collection of innovative infrastructure projects from the annual </w:t>
      </w:r>
      <w:r w:rsidRPr="00932BDE">
        <w:rPr>
          <w:rFonts w:ascii="Arial" w:hAnsi="Arial" w:cs="Arial"/>
          <w:i/>
          <w:color w:val="808080" w:themeColor="background1" w:themeShade="80"/>
          <w:sz w:val="15"/>
          <w:szCs w:val="13"/>
        </w:rPr>
        <w:t xml:space="preserve">Be Inspired </w:t>
      </w:r>
      <w:r w:rsidRPr="00932BDE">
        <w:rPr>
          <w:rFonts w:ascii="Arial" w:hAnsi="Arial" w:cs="Arial"/>
          <w:color w:val="808080" w:themeColor="background1" w:themeShade="80"/>
          <w:sz w:val="15"/>
          <w:szCs w:val="13"/>
        </w:rPr>
        <w:t xml:space="preserve">Awards, access Bentley’s </w:t>
      </w:r>
      <w:hyperlink r:id="rId15" w:history="1">
        <w:r w:rsidRPr="00932BDE">
          <w:rPr>
            <w:rStyle w:val="Hyperlink"/>
            <w:rFonts w:ascii="Arial" w:hAnsi="Arial" w:cs="Arial"/>
            <w:i/>
            <w:sz w:val="15"/>
            <w:szCs w:val="13"/>
          </w:rPr>
          <w:t>Infrastructure Yearbooks</w:t>
        </w:r>
      </w:hyperlink>
      <w:r w:rsidRPr="00932BDE">
        <w:rPr>
          <w:rFonts w:ascii="Arial" w:hAnsi="Arial" w:cs="Arial"/>
          <w:color w:val="808080" w:themeColor="background1" w:themeShade="80"/>
          <w:sz w:val="15"/>
          <w:szCs w:val="13"/>
        </w:rPr>
        <w:t xml:space="preserve">. To access </w:t>
      </w:r>
      <w:r w:rsidRPr="00932BDE">
        <w:rPr>
          <w:rFonts w:ascii="Arial" w:hAnsi="Arial" w:cs="Arial"/>
          <w:iCs/>
          <w:color w:val="808080" w:themeColor="background1" w:themeShade="80"/>
          <w:sz w:val="15"/>
          <w:szCs w:val="13"/>
        </w:rPr>
        <w:t xml:space="preserve">a professional networking site that enables members of the infrastructure community to connect, communicate, and learn from each other, visit </w:t>
      </w:r>
      <w:hyperlink r:id="rId16" w:history="1">
        <w:r w:rsidRPr="00932BDE">
          <w:rPr>
            <w:rStyle w:val="Hyperlink"/>
            <w:rFonts w:ascii="Arial" w:hAnsi="Arial" w:cs="Arial"/>
            <w:sz w:val="15"/>
            <w:szCs w:val="13"/>
          </w:rPr>
          <w:t>Bentley Communities</w:t>
        </w:r>
      </w:hyperlink>
      <w:r w:rsidRPr="00932BDE">
        <w:rPr>
          <w:rFonts w:ascii="Arial" w:hAnsi="Arial" w:cs="Arial"/>
          <w:iCs/>
          <w:color w:val="808080" w:themeColor="background1" w:themeShade="80"/>
          <w:sz w:val="15"/>
          <w:szCs w:val="13"/>
        </w:rPr>
        <w:t>.</w:t>
      </w:r>
    </w:p>
    <w:p w14:paraId="3DC6F3A6" w14:textId="77777777" w:rsidR="00932BDE" w:rsidRPr="00932BDE" w:rsidRDefault="00932BDE" w:rsidP="00932BDE">
      <w:pPr>
        <w:rPr>
          <w:rFonts w:ascii="Arial" w:hAnsi="Arial" w:cs="Arial"/>
          <w:color w:val="808080" w:themeColor="background1" w:themeShade="80"/>
          <w:sz w:val="15"/>
          <w:szCs w:val="13"/>
        </w:rPr>
      </w:pPr>
    </w:p>
    <w:p w14:paraId="147DEAE5" w14:textId="77777777" w:rsidR="00932BDE" w:rsidRPr="00932BDE" w:rsidRDefault="00932BDE" w:rsidP="00932BDE">
      <w:pPr>
        <w:rPr>
          <w:rFonts w:ascii="Arial" w:hAnsi="Arial" w:cs="Arial"/>
          <w:color w:val="808080" w:themeColor="background1" w:themeShade="80"/>
          <w:sz w:val="15"/>
          <w:szCs w:val="13"/>
        </w:rPr>
      </w:pPr>
      <w:r w:rsidRPr="00932BDE">
        <w:rPr>
          <w:rFonts w:ascii="Arial" w:hAnsi="Arial" w:cs="Arial"/>
          <w:color w:val="808080" w:themeColor="background1" w:themeShade="80"/>
          <w:sz w:val="15"/>
          <w:szCs w:val="13"/>
        </w:rPr>
        <w:t xml:space="preserve">To download the </w:t>
      </w:r>
      <w:r w:rsidRPr="00932BDE">
        <w:rPr>
          <w:rFonts w:ascii="Arial" w:hAnsi="Arial" w:cs="Arial"/>
          <w:i/>
          <w:color w:val="808080" w:themeColor="background1" w:themeShade="80"/>
          <w:sz w:val="15"/>
          <w:szCs w:val="13"/>
        </w:rPr>
        <w:t>Bentley Infrastructure 500</w:t>
      </w:r>
      <w:r w:rsidRPr="00932BDE">
        <w:rPr>
          <w:rFonts w:ascii="Arial" w:hAnsi="Arial" w:cs="Arial"/>
          <w:color w:val="808080" w:themeColor="background1" w:themeShade="80"/>
          <w:sz w:val="15"/>
          <w:szCs w:val="13"/>
        </w:rPr>
        <w:t xml:space="preserve"> Top Owners ranking, a unique global compendium of the top public- and private-sector owners of infrastructure based on the value of their cumulative infrastructure investments, visit </w:t>
      </w:r>
      <w:hyperlink r:id="rId17" w:history="1">
        <w:r w:rsidRPr="00932BDE">
          <w:rPr>
            <w:rStyle w:val="Hyperlink"/>
            <w:rFonts w:ascii="Arial" w:hAnsi="Arial" w:cs="Arial"/>
            <w:sz w:val="15"/>
            <w:szCs w:val="13"/>
          </w:rPr>
          <w:t>BI 500</w:t>
        </w:r>
      </w:hyperlink>
      <w:r w:rsidRPr="00932BDE">
        <w:rPr>
          <w:rFonts w:ascii="Arial" w:hAnsi="Arial" w:cs="Arial"/>
          <w:color w:val="808080" w:themeColor="background1" w:themeShade="80"/>
          <w:sz w:val="15"/>
          <w:szCs w:val="13"/>
        </w:rPr>
        <w:t>.</w:t>
      </w:r>
    </w:p>
    <w:p w14:paraId="3DA90086" w14:textId="77777777" w:rsidR="00932BDE" w:rsidRPr="00932BDE" w:rsidRDefault="00932BDE" w:rsidP="00932BDE">
      <w:pPr>
        <w:rPr>
          <w:rFonts w:ascii="Arial" w:hAnsi="Arial" w:cs="Arial"/>
          <w:color w:val="808080" w:themeColor="background1" w:themeShade="80"/>
          <w:sz w:val="15"/>
          <w:szCs w:val="13"/>
        </w:rPr>
      </w:pPr>
    </w:p>
    <w:p w14:paraId="1785EA67" w14:textId="77777777" w:rsidR="00790F45" w:rsidRDefault="00F61E29" w:rsidP="00F61E29">
      <w:pPr>
        <w:jc w:val="center"/>
        <w:rPr>
          <w:rFonts w:ascii="Arial" w:hAnsi="Arial" w:cs="Arial"/>
          <w:color w:val="808080" w:themeColor="background1" w:themeShade="80"/>
          <w:sz w:val="15"/>
          <w:szCs w:val="13"/>
        </w:rPr>
      </w:pPr>
      <w:r w:rsidRPr="00932BDE">
        <w:rPr>
          <w:rFonts w:ascii="Arial" w:hAnsi="Arial" w:cs="Arial"/>
          <w:color w:val="808080" w:themeColor="background1" w:themeShade="80"/>
          <w:sz w:val="15"/>
          <w:szCs w:val="13"/>
        </w:rPr>
        <w:t># # #</w:t>
      </w:r>
    </w:p>
    <w:p w14:paraId="7E964401" w14:textId="77777777" w:rsidR="00501DE9" w:rsidRDefault="00501DE9" w:rsidP="00F61E29">
      <w:pPr>
        <w:jc w:val="center"/>
        <w:rPr>
          <w:rFonts w:ascii="Arial" w:hAnsi="Arial" w:cs="Arial"/>
          <w:color w:val="808080" w:themeColor="background1" w:themeShade="80"/>
          <w:sz w:val="15"/>
          <w:szCs w:val="13"/>
        </w:rPr>
      </w:pPr>
    </w:p>
    <w:p w14:paraId="4A2A7050" w14:textId="77777777" w:rsidR="00501DE9" w:rsidRPr="00501DE9" w:rsidRDefault="00501DE9" w:rsidP="00501DE9">
      <w:pPr>
        <w:rPr>
          <w:rFonts w:ascii="Arial" w:hAnsi="Arial" w:cs="Arial"/>
          <w:color w:val="808080" w:themeColor="background1" w:themeShade="80"/>
          <w:sz w:val="15"/>
          <w:szCs w:val="13"/>
        </w:rPr>
      </w:pPr>
      <w:r w:rsidRPr="00501DE9">
        <w:rPr>
          <w:rFonts w:ascii="Arial" w:hAnsi="Arial" w:cs="Arial"/>
          <w:i/>
          <w:iCs/>
          <w:color w:val="808080" w:themeColor="background1" w:themeShade="80"/>
          <w:sz w:val="15"/>
          <w:szCs w:val="13"/>
        </w:rPr>
        <w:t xml:space="preserve">Bentley, the “B” Bentley logo, Be, AssetWise, </w:t>
      </w:r>
      <w:proofErr w:type="spellStart"/>
      <w:r w:rsidRPr="00501DE9">
        <w:rPr>
          <w:rFonts w:ascii="Arial" w:hAnsi="Arial" w:cs="Arial"/>
          <w:i/>
          <w:iCs/>
          <w:color w:val="808080" w:themeColor="background1" w:themeShade="80"/>
          <w:sz w:val="15"/>
          <w:szCs w:val="13"/>
        </w:rPr>
        <w:t>ContextCapture</w:t>
      </w:r>
      <w:proofErr w:type="spellEnd"/>
      <w:r w:rsidRPr="00501DE9">
        <w:rPr>
          <w:rFonts w:ascii="Arial" w:hAnsi="Arial" w:cs="Arial"/>
          <w:i/>
          <w:iCs/>
          <w:color w:val="808080" w:themeColor="background1" w:themeShade="80"/>
          <w:sz w:val="15"/>
          <w:szCs w:val="13"/>
        </w:rPr>
        <w:t xml:space="preserve">, </w:t>
      </w:r>
      <w:proofErr w:type="spellStart"/>
      <w:r w:rsidRPr="00501DE9">
        <w:rPr>
          <w:rFonts w:ascii="Arial" w:hAnsi="Arial" w:cs="Arial"/>
          <w:i/>
          <w:iCs/>
          <w:color w:val="808080" w:themeColor="background1" w:themeShade="80"/>
          <w:sz w:val="15"/>
          <w:szCs w:val="13"/>
        </w:rPr>
        <w:t>MicroStation</w:t>
      </w:r>
      <w:proofErr w:type="spellEnd"/>
      <w:r w:rsidRPr="00501DE9">
        <w:rPr>
          <w:rFonts w:ascii="Arial" w:hAnsi="Arial" w:cs="Arial"/>
          <w:i/>
          <w:iCs/>
          <w:color w:val="808080" w:themeColor="background1" w:themeShade="80"/>
          <w:sz w:val="15"/>
          <w:szCs w:val="13"/>
        </w:rPr>
        <w:t>, and ProjectWise are either registered or unregistered trademarks or service marks of Bentley Systems, Incorporated or one of its direct or indirect wholly owned subsidiaries. All other brands and product names are trademarks of their respective owners.</w:t>
      </w:r>
    </w:p>
    <w:p w14:paraId="65BBE534" w14:textId="77777777" w:rsidR="00501DE9" w:rsidRPr="00932BDE" w:rsidRDefault="00501DE9" w:rsidP="00F61E29">
      <w:pPr>
        <w:jc w:val="center"/>
        <w:rPr>
          <w:rFonts w:ascii="Arial" w:hAnsi="Arial" w:cs="Arial"/>
          <w:color w:val="808080" w:themeColor="background1" w:themeShade="80"/>
          <w:sz w:val="15"/>
          <w:szCs w:val="13"/>
        </w:rPr>
      </w:pPr>
    </w:p>
    <w:p w14:paraId="077E1D1B" w14:textId="77777777" w:rsidR="00F61E29" w:rsidRPr="00932BDE" w:rsidRDefault="00F61E29" w:rsidP="00F61E29">
      <w:pPr>
        <w:outlineLvl w:val="0"/>
        <w:rPr>
          <w:rFonts w:ascii="Arial" w:hAnsi="Arial" w:cs="Arial"/>
          <w:b/>
          <w:color w:val="808080" w:themeColor="background1" w:themeShade="80"/>
          <w:sz w:val="15"/>
          <w:szCs w:val="13"/>
        </w:rPr>
      </w:pPr>
      <w:r w:rsidRPr="00932BDE">
        <w:rPr>
          <w:rFonts w:ascii="Arial" w:hAnsi="Arial" w:cs="Arial"/>
          <w:b/>
          <w:color w:val="808080" w:themeColor="background1" w:themeShade="80"/>
          <w:sz w:val="15"/>
          <w:szCs w:val="13"/>
        </w:rPr>
        <w:t>Press Contact</w:t>
      </w:r>
      <w:r w:rsidR="00AA0265" w:rsidRPr="00932BDE">
        <w:rPr>
          <w:rFonts w:ascii="Arial" w:hAnsi="Arial" w:cs="Arial"/>
          <w:b/>
          <w:color w:val="808080" w:themeColor="background1" w:themeShade="80"/>
          <w:sz w:val="15"/>
          <w:szCs w:val="13"/>
        </w:rPr>
        <w:t>s</w:t>
      </w:r>
      <w:r w:rsidRPr="00932BDE">
        <w:rPr>
          <w:rFonts w:ascii="Arial" w:hAnsi="Arial" w:cs="Arial"/>
          <w:b/>
          <w:color w:val="808080" w:themeColor="background1" w:themeShade="80"/>
          <w:sz w:val="15"/>
          <w:szCs w:val="13"/>
        </w:rPr>
        <w:t xml:space="preserve">: </w:t>
      </w:r>
    </w:p>
    <w:p w14:paraId="0C2F4451" w14:textId="77777777" w:rsidR="00AA0265" w:rsidRPr="00932BDE" w:rsidRDefault="00AA0265" w:rsidP="00F61E29">
      <w:pPr>
        <w:outlineLvl w:val="0"/>
        <w:rPr>
          <w:rFonts w:ascii="Arial" w:hAnsi="Arial" w:cs="Arial"/>
          <w:b/>
          <w:color w:val="808080" w:themeColor="background1" w:themeShade="80"/>
          <w:sz w:val="8"/>
          <w:szCs w:val="13"/>
        </w:rPr>
      </w:pPr>
    </w:p>
    <w:p w14:paraId="0C5C910D" w14:textId="77777777" w:rsidR="00F61E29" w:rsidRPr="00932BDE" w:rsidRDefault="00F61E29" w:rsidP="00F61E29">
      <w:pPr>
        <w:outlineLvl w:val="0"/>
        <w:rPr>
          <w:rFonts w:ascii="Arial" w:hAnsi="Arial" w:cs="Arial"/>
          <w:b/>
          <w:bCs/>
          <w:color w:val="808080" w:themeColor="background1" w:themeShade="80"/>
          <w:sz w:val="15"/>
          <w:szCs w:val="13"/>
        </w:rPr>
      </w:pPr>
      <w:r w:rsidRPr="00932BDE">
        <w:rPr>
          <w:rFonts w:ascii="Arial" w:hAnsi="Arial" w:cs="Arial"/>
          <w:b/>
          <w:bCs/>
          <w:color w:val="808080" w:themeColor="background1" w:themeShade="80"/>
          <w:sz w:val="15"/>
          <w:szCs w:val="13"/>
        </w:rPr>
        <w:t>Topcon Positioning Group</w:t>
      </w:r>
    </w:p>
    <w:p w14:paraId="563546FC" w14:textId="77777777" w:rsidR="00F61E29" w:rsidRPr="00932BDE" w:rsidRDefault="00EF7048" w:rsidP="00F61E29">
      <w:pPr>
        <w:outlineLvl w:val="0"/>
        <w:rPr>
          <w:rFonts w:ascii="Arial" w:hAnsi="Arial" w:cs="Arial"/>
          <w:bCs/>
          <w:color w:val="808080" w:themeColor="background1" w:themeShade="80"/>
          <w:sz w:val="15"/>
          <w:szCs w:val="13"/>
          <w:lang w:val="it-IT"/>
        </w:rPr>
      </w:pPr>
      <w:hyperlink r:id="rId18" w:history="1">
        <w:r w:rsidR="00F61E29" w:rsidRPr="00932BDE">
          <w:rPr>
            <w:rStyle w:val="Hyperlink"/>
            <w:rFonts w:ascii="Arial" w:hAnsi="Arial" w:cs="Arial"/>
            <w:bCs/>
            <w:color w:val="808080" w:themeColor="background1" w:themeShade="80"/>
            <w:sz w:val="15"/>
            <w:szCs w:val="13"/>
            <w:lang w:val="it-IT"/>
          </w:rPr>
          <w:t>CorpComm@topcon.com</w:t>
        </w:r>
      </w:hyperlink>
    </w:p>
    <w:p w14:paraId="54F11247" w14:textId="77777777" w:rsidR="008D041A" w:rsidRPr="00932BDE" w:rsidRDefault="00F61E29" w:rsidP="00612FA3">
      <w:pPr>
        <w:rPr>
          <w:rFonts w:ascii="Arial" w:hAnsi="Arial" w:cs="Arial"/>
          <w:bCs/>
          <w:color w:val="808080" w:themeColor="background1" w:themeShade="80"/>
          <w:sz w:val="15"/>
          <w:szCs w:val="13"/>
          <w:lang w:val="it-IT"/>
        </w:rPr>
      </w:pPr>
      <w:proofErr w:type="spellStart"/>
      <w:r w:rsidRPr="00932BDE">
        <w:rPr>
          <w:rFonts w:ascii="Arial" w:hAnsi="Arial" w:cs="Arial"/>
          <w:bCs/>
          <w:color w:val="808080" w:themeColor="background1" w:themeShade="80"/>
          <w:sz w:val="15"/>
          <w:szCs w:val="13"/>
          <w:lang w:val="it-IT"/>
        </w:rPr>
        <w:t>Staci</w:t>
      </w:r>
      <w:proofErr w:type="spellEnd"/>
      <w:r w:rsidRPr="00932BDE">
        <w:rPr>
          <w:rFonts w:ascii="Arial" w:hAnsi="Arial" w:cs="Arial"/>
          <w:bCs/>
          <w:color w:val="808080" w:themeColor="background1" w:themeShade="80"/>
          <w:sz w:val="15"/>
          <w:szCs w:val="13"/>
          <w:lang w:val="it-IT"/>
        </w:rPr>
        <w:t xml:space="preserve"> Fitzgerald, +1 925-245-8610</w:t>
      </w:r>
    </w:p>
    <w:p w14:paraId="3F571ABD" w14:textId="77777777" w:rsidR="00BA6826" w:rsidRPr="00932BDE" w:rsidRDefault="00BA6826" w:rsidP="00BA6826">
      <w:pPr>
        <w:jc w:val="right"/>
        <w:outlineLvl w:val="0"/>
        <w:rPr>
          <w:rFonts w:ascii="Arial" w:hAnsi="Arial"/>
          <w:color w:val="808080" w:themeColor="background1" w:themeShade="80"/>
          <w:sz w:val="15"/>
          <w:szCs w:val="15"/>
        </w:rPr>
      </w:pPr>
    </w:p>
    <w:p w14:paraId="0BA9A28C" w14:textId="77777777" w:rsidR="00EB1A0F" w:rsidRDefault="00932BDE" w:rsidP="00EB1A0F">
      <w:pPr>
        <w:outlineLvl w:val="0"/>
        <w:rPr>
          <w:rFonts w:ascii="Arial" w:hAnsi="Arial" w:cs="Arial"/>
          <w:b/>
          <w:color w:val="808080" w:themeColor="background1" w:themeShade="80"/>
          <w:sz w:val="15"/>
          <w:szCs w:val="13"/>
        </w:rPr>
      </w:pPr>
      <w:r w:rsidRPr="00932BDE">
        <w:rPr>
          <w:rFonts w:ascii="Arial" w:hAnsi="Arial" w:cs="Arial"/>
          <w:b/>
          <w:color w:val="808080" w:themeColor="background1" w:themeShade="80"/>
          <w:sz w:val="15"/>
          <w:szCs w:val="13"/>
        </w:rPr>
        <w:t>Bentley</w:t>
      </w:r>
      <w:r w:rsidR="00E72367">
        <w:rPr>
          <w:rFonts w:ascii="Arial" w:hAnsi="Arial" w:cs="Arial"/>
          <w:b/>
          <w:color w:val="808080" w:themeColor="background1" w:themeShade="80"/>
          <w:sz w:val="15"/>
          <w:szCs w:val="13"/>
        </w:rPr>
        <w:t xml:space="preserve"> Systems</w:t>
      </w:r>
    </w:p>
    <w:p w14:paraId="05CD9F31" w14:textId="77777777" w:rsidR="00EB1A0F" w:rsidRPr="00EB1A0F" w:rsidRDefault="00EB1A0F" w:rsidP="00EB1A0F">
      <w:pPr>
        <w:outlineLvl w:val="0"/>
        <w:rPr>
          <w:rFonts w:ascii="Arial" w:hAnsi="Arial"/>
          <w:bCs/>
          <w:color w:val="808080" w:themeColor="background1" w:themeShade="80"/>
          <w:sz w:val="15"/>
          <w:szCs w:val="15"/>
        </w:rPr>
      </w:pPr>
      <w:r w:rsidRPr="00EB1A0F">
        <w:rPr>
          <w:rFonts w:ascii="Arial" w:hAnsi="Arial"/>
          <w:bCs/>
          <w:color w:val="808080" w:themeColor="background1" w:themeShade="80"/>
          <w:sz w:val="15"/>
          <w:szCs w:val="15"/>
          <w:u w:val="single"/>
        </w:rPr>
        <w:t>jennifer.maguire@bentley.com</w:t>
      </w:r>
    </w:p>
    <w:p w14:paraId="5A81A31F" w14:textId="422F06C6" w:rsidR="00AA0265" w:rsidRPr="00501DE9" w:rsidRDefault="00EB1A0F" w:rsidP="00AA0265">
      <w:pPr>
        <w:outlineLvl w:val="0"/>
        <w:rPr>
          <w:rFonts w:ascii="Arial" w:hAnsi="Arial"/>
          <w:color w:val="808080" w:themeColor="background1" w:themeShade="80"/>
          <w:sz w:val="15"/>
          <w:szCs w:val="15"/>
        </w:rPr>
      </w:pPr>
      <w:r w:rsidRPr="00EB1A0F">
        <w:rPr>
          <w:rFonts w:ascii="Arial" w:hAnsi="Arial"/>
          <w:color w:val="808080" w:themeColor="background1" w:themeShade="80"/>
          <w:sz w:val="15"/>
          <w:szCs w:val="15"/>
        </w:rPr>
        <w:t>Jennifer Maguire</w:t>
      </w:r>
      <w:r>
        <w:rPr>
          <w:rFonts w:ascii="Arial" w:hAnsi="Arial"/>
          <w:color w:val="808080" w:themeColor="background1" w:themeShade="80"/>
          <w:sz w:val="15"/>
          <w:szCs w:val="15"/>
        </w:rPr>
        <w:t xml:space="preserve">, </w:t>
      </w:r>
      <w:r w:rsidRPr="00EB1A0F">
        <w:rPr>
          <w:rFonts w:ascii="Arial" w:hAnsi="Arial"/>
          <w:color w:val="808080" w:themeColor="background1" w:themeShade="80"/>
          <w:sz w:val="15"/>
          <w:szCs w:val="15"/>
        </w:rPr>
        <w:t>+1 610 458 2695</w:t>
      </w:r>
    </w:p>
    <w:sectPr w:rsidR="00AA0265" w:rsidRPr="00501DE9" w:rsidSect="00EB1A0F">
      <w:headerReference w:type="first" r:id="rId19"/>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B3831A" w14:textId="77777777" w:rsidR="00EF7048" w:rsidRDefault="00EF7048">
      <w:r>
        <w:separator/>
      </w:r>
    </w:p>
  </w:endnote>
  <w:endnote w:type="continuationSeparator" w:id="0">
    <w:p w14:paraId="5D86BED7" w14:textId="77777777" w:rsidR="00EF7048" w:rsidRDefault="00EF7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330CA9" w14:textId="77777777" w:rsidR="00EF7048" w:rsidRDefault="00EF7048">
      <w:r>
        <w:separator/>
      </w:r>
    </w:p>
  </w:footnote>
  <w:footnote w:type="continuationSeparator" w:id="0">
    <w:p w14:paraId="7536989B" w14:textId="77777777" w:rsidR="00EF7048" w:rsidRDefault="00EF70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47CF4"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251DE500" wp14:editId="06E708BF">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DDAA622" w14:textId="77777777" w:rsidR="00870D37" w:rsidRPr="00EB1000" w:rsidRDefault="00870D37" w:rsidP="00220127">
    <w:pPr>
      <w:pStyle w:val="Header"/>
      <w:ind w:right="-720"/>
      <w:jc w:val="right"/>
      <w:rPr>
        <w:rFonts w:ascii="Arial" w:hAnsi="Arial"/>
        <w:color w:val="FFFFFF" w:themeColor="background1"/>
        <w:sz w:val="32"/>
        <w:szCs w:val="32"/>
      </w:rPr>
    </w:pPr>
  </w:p>
  <w:p w14:paraId="58244C2E"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hideSpellingErrors/>
  <w:hideGrammaticalError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41628"/>
    <w:rsid w:val="000418C2"/>
    <w:rsid w:val="00073328"/>
    <w:rsid w:val="000872FF"/>
    <w:rsid w:val="0009234C"/>
    <w:rsid w:val="00096B9D"/>
    <w:rsid w:val="000B5413"/>
    <w:rsid w:val="000C3C4C"/>
    <w:rsid w:val="000C6429"/>
    <w:rsid w:val="000D117E"/>
    <w:rsid w:val="0010107F"/>
    <w:rsid w:val="00105D3C"/>
    <w:rsid w:val="001269F8"/>
    <w:rsid w:val="00130BEA"/>
    <w:rsid w:val="00163F32"/>
    <w:rsid w:val="001713D0"/>
    <w:rsid w:val="00177523"/>
    <w:rsid w:val="001855FB"/>
    <w:rsid w:val="00193D13"/>
    <w:rsid w:val="001A276A"/>
    <w:rsid w:val="001A5950"/>
    <w:rsid w:val="001B6BA0"/>
    <w:rsid w:val="001D47AE"/>
    <w:rsid w:val="001E495F"/>
    <w:rsid w:val="0021108A"/>
    <w:rsid w:val="00211CAC"/>
    <w:rsid w:val="0021353A"/>
    <w:rsid w:val="00220127"/>
    <w:rsid w:val="00234742"/>
    <w:rsid w:val="002377E8"/>
    <w:rsid w:val="00247FF4"/>
    <w:rsid w:val="00265C21"/>
    <w:rsid w:val="00267859"/>
    <w:rsid w:val="002751AA"/>
    <w:rsid w:val="002811A7"/>
    <w:rsid w:val="00283421"/>
    <w:rsid w:val="0028401A"/>
    <w:rsid w:val="002841A2"/>
    <w:rsid w:val="002A070C"/>
    <w:rsid w:val="002B2158"/>
    <w:rsid w:val="002B32F1"/>
    <w:rsid w:val="002B65A9"/>
    <w:rsid w:val="002E2BC8"/>
    <w:rsid w:val="002E5E21"/>
    <w:rsid w:val="002E7E50"/>
    <w:rsid w:val="00313F6E"/>
    <w:rsid w:val="003163AA"/>
    <w:rsid w:val="0032173B"/>
    <w:rsid w:val="003217F4"/>
    <w:rsid w:val="00340920"/>
    <w:rsid w:val="003507A9"/>
    <w:rsid w:val="00353911"/>
    <w:rsid w:val="00355294"/>
    <w:rsid w:val="003801D4"/>
    <w:rsid w:val="0038352E"/>
    <w:rsid w:val="0039761D"/>
    <w:rsid w:val="003A6C06"/>
    <w:rsid w:val="003A7243"/>
    <w:rsid w:val="003B1941"/>
    <w:rsid w:val="003B200E"/>
    <w:rsid w:val="003B4135"/>
    <w:rsid w:val="003C6648"/>
    <w:rsid w:val="003F134C"/>
    <w:rsid w:val="003F5E34"/>
    <w:rsid w:val="00412292"/>
    <w:rsid w:val="00413E95"/>
    <w:rsid w:val="00416269"/>
    <w:rsid w:val="004231F9"/>
    <w:rsid w:val="0043387D"/>
    <w:rsid w:val="00433A38"/>
    <w:rsid w:val="00471166"/>
    <w:rsid w:val="00482A23"/>
    <w:rsid w:val="00486106"/>
    <w:rsid w:val="004C2A52"/>
    <w:rsid w:val="004C4705"/>
    <w:rsid w:val="004C7DC9"/>
    <w:rsid w:val="004D399D"/>
    <w:rsid w:val="004D3DE4"/>
    <w:rsid w:val="004F0BDC"/>
    <w:rsid w:val="00501DE9"/>
    <w:rsid w:val="00513E5B"/>
    <w:rsid w:val="00515CDD"/>
    <w:rsid w:val="00516224"/>
    <w:rsid w:val="00527B70"/>
    <w:rsid w:val="00536EAB"/>
    <w:rsid w:val="005378E1"/>
    <w:rsid w:val="005502C7"/>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7E81"/>
    <w:rsid w:val="0064309C"/>
    <w:rsid w:val="006456AE"/>
    <w:rsid w:val="00653C74"/>
    <w:rsid w:val="006643CB"/>
    <w:rsid w:val="006713DD"/>
    <w:rsid w:val="006926B3"/>
    <w:rsid w:val="006A0908"/>
    <w:rsid w:val="006B2A9A"/>
    <w:rsid w:val="006C6B2E"/>
    <w:rsid w:val="006E05C2"/>
    <w:rsid w:val="006E2F31"/>
    <w:rsid w:val="007127A0"/>
    <w:rsid w:val="007530F6"/>
    <w:rsid w:val="00756005"/>
    <w:rsid w:val="007605FA"/>
    <w:rsid w:val="00765F8C"/>
    <w:rsid w:val="00773A4C"/>
    <w:rsid w:val="0078639E"/>
    <w:rsid w:val="00790F45"/>
    <w:rsid w:val="007B3233"/>
    <w:rsid w:val="007C481B"/>
    <w:rsid w:val="007C5005"/>
    <w:rsid w:val="007D26FD"/>
    <w:rsid w:val="00810DE0"/>
    <w:rsid w:val="008141F4"/>
    <w:rsid w:val="008223E1"/>
    <w:rsid w:val="00832E9A"/>
    <w:rsid w:val="008370B6"/>
    <w:rsid w:val="00846CEF"/>
    <w:rsid w:val="00853C9A"/>
    <w:rsid w:val="00862F60"/>
    <w:rsid w:val="00870D37"/>
    <w:rsid w:val="008802C4"/>
    <w:rsid w:val="00891FF7"/>
    <w:rsid w:val="008962D4"/>
    <w:rsid w:val="008D0202"/>
    <w:rsid w:val="008D041A"/>
    <w:rsid w:val="008F54A3"/>
    <w:rsid w:val="009115C1"/>
    <w:rsid w:val="00932BDE"/>
    <w:rsid w:val="00937F53"/>
    <w:rsid w:val="009434F4"/>
    <w:rsid w:val="00953F3D"/>
    <w:rsid w:val="00956EF7"/>
    <w:rsid w:val="00963525"/>
    <w:rsid w:val="009666D5"/>
    <w:rsid w:val="00975493"/>
    <w:rsid w:val="009914F1"/>
    <w:rsid w:val="009964DE"/>
    <w:rsid w:val="009A61FB"/>
    <w:rsid w:val="009C3261"/>
    <w:rsid w:val="00A06D66"/>
    <w:rsid w:val="00A30EA6"/>
    <w:rsid w:val="00A36D45"/>
    <w:rsid w:val="00A47E24"/>
    <w:rsid w:val="00A57BD4"/>
    <w:rsid w:val="00A60195"/>
    <w:rsid w:val="00A91273"/>
    <w:rsid w:val="00A9365C"/>
    <w:rsid w:val="00A95736"/>
    <w:rsid w:val="00A976A5"/>
    <w:rsid w:val="00AA0265"/>
    <w:rsid w:val="00AA2A43"/>
    <w:rsid w:val="00AA5C55"/>
    <w:rsid w:val="00AB50D8"/>
    <w:rsid w:val="00AC09BA"/>
    <w:rsid w:val="00AE6481"/>
    <w:rsid w:val="00AF6848"/>
    <w:rsid w:val="00B402B7"/>
    <w:rsid w:val="00B4058E"/>
    <w:rsid w:val="00B64457"/>
    <w:rsid w:val="00B92736"/>
    <w:rsid w:val="00B92C56"/>
    <w:rsid w:val="00B92CFE"/>
    <w:rsid w:val="00BA6826"/>
    <w:rsid w:val="00BB19B5"/>
    <w:rsid w:val="00BB25D3"/>
    <w:rsid w:val="00BB4455"/>
    <w:rsid w:val="00BC6358"/>
    <w:rsid w:val="00BD71D0"/>
    <w:rsid w:val="00BE5DE2"/>
    <w:rsid w:val="00BF1DD5"/>
    <w:rsid w:val="00BF37F1"/>
    <w:rsid w:val="00C01690"/>
    <w:rsid w:val="00C03ADA"/>
    <w:rsid w:val="00C23A3B"/>
    <w:rsid w:val="00C31391"/>
    <w:rsid w:val="00C33DB6"/>
    <w:rsid w:val="00C638D1"/>
    <w:rsid w:val="00C71809"/>
    <w:rsid w:val="00C7597C"/>
    <w:rsid w:val="00C817C9"/>
    <w:rsid w:val="00C92C21"/>
    <w:rsid w:val="00C958B3"/>
    <w:rsid w:val="00CD3455"/>
    <w:rsid w:val="00CE142B"/>
    <w:rsid w:val="00CE188F"/>
    <w:rsid w:val="00CE7843"/>
    <w:rsid w:val="00CF403B"/>
    <w:rsid w:val="00CF7FC5"/>
    <w:rsid w:val="00D06CD0"/>
    <w:rsid w:val="00D21DEA"/>
    <w:rsid w:val="00D47414"/>
    <w:rsid w:val="00D55832"/>
    <w:rsid w:val="00D62FA8"/>
    <w:rsid w:val="00D6369D"/>
    <w:rsid w:val="00D647FC"/>
    <w:rsid w:val="00D65D7A"/>
    <w:rsid w:val="00D6784A"/>
    <w:rsid w:val="00D70AF0"/>
    <w:rsid w:val="00D70EE2"/>
    <w:rsid w:val="00D91CF0"/>
    <w:rsid w:val="00D979CB"/>
    <w:rsid w:val="00DA66FE"/>
    <w:rsid w:val="00DC60A0"/>
    <w:rsid w:val="00E07F73"/>
    <w:rsid w:val="00E16158"/>
    <w:rsid w:val="00E32B47"/>
    <w:rsid w:val="00E72367"/>
    <w:rsid w:val="00E95EFF"/>
    <w:rsid w:val="00EB1000"/>
    <w:rsid w:val="00EB1A0F"/>
    <w:rsid w:val="00EC3044"/>
    <w:rsid w:val="00ED70D3"/>
    <w:rsid w:val="00EE1C16"/>
    <w:rsid w:val="00EE33D2"/>
    <w:rsid w:val="00EF0411"/>
    <w:rsid w:val="00EF7048"/>
    <w:rsid w:val="00F209D8"/>
    <w:rsid w:val="00F463E2"/>
    <w:rsid w:val="00F55F20"/>
    <w:rsid w:val="00F6101F"/>
    <w:rsid w:val="00F61E29"/>
    <w:rsid w:val="00F757D3"/>
    <w:rsid w:val="00F81B4F"/>
    <w:rsid w:val="00F86B3B"/>
    <w:rsid w:val="00F94B69"/>
    <w:rsid w:val="00F94E58"/>
    <w:rsid w:val="00FA3772"/>
    <w:rsid w:val="00FA7601"/>
    <w:rsid w:val="00FB0DA8"/>
    <w:rsid w:val="00FB146B"/>
    <w:rsid w:val="00FB4CB7"/>
    <w:rsid w:val="00FB613D"/>
    <w:rsid w:val="00FC747F"/>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DF235B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00593">
      <w:bodyDiv w:val="1"/>
      <w:marLeft w:val="0"/>
      <w:marRight w:val="0"/>
      <w:marTop w:val="0"/>
      <w:marBottom w:val="0"/>
      <w:divBdr>
        <w:top w:val="none" w:sz="0" w:space="0" w:color="auto"/>
        <w:left w:val="none" w:sz="0" w:space="0" w:color="auto"/>
        <w:bottom w:val="none" w:sz="0" w:space="0" w:color="auto"/>
        <w:right w:val="none" w:sz="0" w:space="0" w:color="auto"/>
      </w:divBdr>
    </w:div>
    <w:div w:id="371807310">
      <w:bodyDiv w:val="1"/>
      <w:marLeft w:val="0"/>
      <w:marRight w:val="0"/>
      <w:marTop w:val="0"/>
      <w:marBottom w:val="0"/>
      <w:divBdr>
        <w:top w:val="none" w:sz="0" w:space="0" w:color="auto"/>
        <w:left w:val="none" w:sz="0" w:space="0" w:color="auto"/>
        <w:bottom w:val="none" w:sz="0" w:space="0" w:color="auto"/>
        <w:right w:val="none" w:sz="0" w:space="0" w:color="auto"/>
      </w:divBdr>
    </w:div>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22915722">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921642828">
      <w:bodyDiv w:val="1"/>
      <w:marLeft w:val="0"/>
      <w:marRight w:val="0"/>
      <w:marTop w:val="0"/>
      <w:marBottom w:val="0"/>
      <w:divBdr>
        <w:top w:val="none" w:sz="0" w:space="0" w:color="auto"/>
        <w:left w:val="none" w:sz="0" w:space="0" w:color="auto"/>
        <w:bottom w:val="none" w:sz="0" w:space="0" w:color="auto"/>
        <w:right w:val="none" w:sz="0" w:space="0" w:color="auto"/>
      </w:divBdr>
    </w:div>
    <w:div w:id="1230386944">
      <w:bodyDiv w:val="1"/>
      <w:marLeft w:val="0"/>
      <w:marRight w:val="0"/>
      <w:marTop w:val="0"/>
      <w:marBottom w:val="0"/>
      <w:divBdr>
        <w:top w:val="none" w:sz="0" w:space="0" w:color="auto"/>
        <w:left w:val="none" w:sz="0" w:space="0" w:color="auto"/>
        <w:bottom w:val="none" w:sz="0" w:space="0" w:color="auto"/>
        <w:right w:val="none" w:sz="0" w:space="0" w:color="auto"/>
      </w:divBdr>
    </w:div>
    <w:div w:id="1236739782">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432555033">
      <w:bodyDiv w:val="1"/>
      <w:marLeft w:val="0"/>
      <w:marRight w:val="0"/>
      <w:marTop w:val="0"/>
      <w:marBottom w:val="0"/>
      <w:divBdr>
        <w:top w:val="none" w:sz="0" w:space="0" w:color="auto"/>
        <w:left w:val="none" w:sz="0" w:space="0" w:color="auto"/>
        <w:bottom w:val="none" w:sz="0" w:space="0" w:color="auto"/>
        <w:right w:val="none" w:sz="0" w:space="0" w:color="auto"/>
      </w:divBdr>
    </w:div>
    <w:div w:id="1937518007">
      <w:bodyDiv w:val="1"/>
      <w:marLeft w:val="0"/>
      <w:marRight w:val="0"/>
      <w:marTop w:val="0"/>
      <w:marBottom w:val="0"/>
      <w:divBdr>
        <w:top w:val="none" w:sz="0" w:space="0" w:color="auto"/>
        <w:left w:val="none" w:sz="0" w:space="0" w:color="auto"/>
        <w:bottom w:val="none" w:sz="0" w:space="0" w:color="auto"/>
        <w:right w:val="none" w:sz="0" w:space="0" w:color="auto"/>
      </w:divBdr>
    </w:div>
    <w:div w:id="2048407714">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0.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www.topconpositioning.com/" TargetMode="External"/><Relationship Id="rId11" Type="http://schemas.openxmlformats.org/officeDocument/2006/relationships/hyperlink" Target="http://global.topcon.com/" TargetMode="External"/><Relationship Id="rId12" Type="http://schemas.openxmlformats.org/officeDocument/2006/relationships/hyperlink" Target="http://www.bentley.com" TargetMode="External"/><Relationship Id="rId13" Type="http://schemas.openxmlformats.org/officeDocument/2006/relationships/hyperlink" Target="https://www.bentley.com/en/news-feed" TargetMode="External"/><Relationship Id="rId14" Type="http://schemas.openxmlformats.org/officeDocument/2006/relationships/hyperlink" Target="http://www.bentley.com/yii2017" TargetMode="External"/><Relationship Id="rId15" Type="http://schemas.openxmlformats.org/officeDocument/2006/relationships/hyperlink" Target="https://www.bentley.com/en/infrastructure-yearbook" TargetMode="External"/><Relationship Id="rId16" Type="http://schemas.openxmlformats.org/officeDocument/2006/relationships/hyperlink" Target="http://communities.bentley.com/" TargetMode="External"/><Relationship Id="rId17" Type="http://schemas.openxmlformats.org/officeDocument/2006/relationships/hyperlink" Target="https://www.bentley.com/en/top-infrastructure-owners" TargetMode="External"/><Relationship Id="rId18" Type="http://schemas.openxmlformats.org/officeDocument/2006/relationships/hyperlink" Target="mailto:CorpComm@topcon.com"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CE23E-11E3-9647-B21A-29DAF1216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1325</Words>
  <Characters>7559</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8867</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Staci Fitzgerald</cp:lastModifiedBy>
  <cp:revision>6</cp:revision>
  <cp:lastPrinted>2015-08-13T12:52:00Z</cp:lastPrinted>
  <dcterms:created xsi:type="dcterms:W3CDTF">2017-10-03T14:32:00Z</dcterms:created>
  <dcterms:modified xsi:type="dcterms:W3CDTF">2017-10-06T01:04:00Z</dcterms:modified>
  <cp:category/>
</cp:coreProperties>
</file>