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9" w:rsidRDefault="00A630ED" w:rsidP="00D23DE9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 w:rsidRPr="00A630E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0;text-align:left;margin-left:186.6pt;margin-top:3.7pt;width:93.9pt;height:103.1pt;z-index:1;visibility:visible">
            <v:imagedata r:id="rId7" o:title=""/>
            <w10:wrap type="square"/>
          </v:shape>
        </w:pict>
      </w:r>
    </w:p>
    <w:p w:rsidR="00D23DE9" w:rsidRDefault="00D23DE9" w:rsidP="00D23DE9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</w:p>
    <w:p w:rsidR="00D23DE9" w:rsidRDefault="00D23DE9" w:rsidP="00D23DE9">
      <w:pPr>
        <w:pStyle w:val="Titolo1"/>
        <w:spacing w:before="0" w:after="0"/>
        <w:jc w:val="center"/>
        <w:rPr>
          <w:color w:val="0079C2"/>
          <w:sz w:val="36"/>
          <w:szCs w:val="36"/>
          <w:lang w:val="it-IT"/>
        </w:rPr>
      </w:pPr>
    </w:p>
    <w:p w:rsidR="000F6602" w:rsidRDefault="000A44F4" w:rsidP="00D23DE9">
      <w:pPr>
        <w:pStyle w:val="Titolo1"/>
        <w:spacing w:before="240" w:after="0"/>
        <w:jc w:val="center"/>
        <w:rPr>
          <w:color w:val="0079C2"/>
          <w:sz w:val="36"/>
          <w:szCs w:val="36"/>
          <w:lang w:val="it-IT"/>
        </w:rPr>
      </w:pPr>
      <w:r>
        <w:rPr>
          <w:color w:val="0079C2"/>
          <w:sz w:val="36"/>
          <w:szCs w:val="36"/>
          <w:lang w:val="it-IT"/>
        </w:rPr>
        <w:t xml:space="preserve">Topcon </w:t>
      </w:r>
      <w:r w:rsidR="00D23DE9">
        <w:rPr>
          <w:color w:val="0079C2"/>
          <w:sz w:val="36"/>
          <w:szCs w:val="36"/>
          <w:lang w:val="it-IT"/>
        </w:rPr>
        <w:t xml:space="preserve">presenta Elite </w:t>
      </w:r>
      <w:proofErr w:type="spellStart"/>
      <w:r w:rsidR="00D23DE9">
        <w:rPr>
          <w:color w:val="0079C2"/>
          <w:sz w:val="36"/>
          <w:szCs w:val="36"/>
          <w:lang w:val="it-IT"/>
        </w:rPr>
        <w:t>Survey</w:t>
      </w:r>
      <w:proofErr w:type="spellEnd"/>
      <w:r w:rsidR="00D23DE9">
        <w:rPr>
          <w:color w:val="0079C2"/>
          <w:sz w:val="36"/>
          <w:szCs w:val="36"/>
          <w:lang w:val="it-IT"/>
        </w:rPr>
        <w:t xml:space="preserve"> Suite</w:t>
      </w:r>
    </w:p>
    <w:p w:rsidR="00D23DE9" w:rsidRPr="00D23DE9" w:rsidRDefault="00D23DE9" w:rsidP="00D23DE9">
      <w:pPr>
        <w:jc w:val="center"/>
        <w:rPr>
          <w:rFonts w:asciiTheme="minorBidi" w:hAnsiTheme="minorBidi" w:cstheme="minorBidi"/>
          <w:color w:val="4F81BD" w:themeColor="accent1"/>
          <w:sz w:val="28"/>
          <w:szCs w:val="28"/>
          <w:lang w:val="it-IT"/>
        </w:rPr>
      </w:pPr>
      <w:r w:rsidRPr="00D23DE9">
        <w:rPr>
          <w:rFonts w:asciiTheme="minorBidi" w:hAnsiTheme="minorBidi" w:cstheme="minorBidi"/>
          <w:i/>
          <w:iCs/>
          <w:color w:val="4F81BD" w:themeColor="accent1"/>
          <w:sz w:val="28"/>
          <w:szCs w:val="28"/>
          <w:lang w:val="it-IT"/>
        </w:rPr>
        <w:t>Veloce, facile da usare e perfettamente integrato per la progettazione</w:t>
      </w:r>
    </w:p>
    <w:p w:rsidR="00D23DE9" w:rsidRPr="00D23DE9" w:rsidRDefault="00D23DE9" w:rsidP="00D23DE9">
      <w:pPr>
        <w:rPr>
          <w:lang w:val="it-IT"/>
        </w:rPr>
      </w:pPr>
    </w:p>
    <w:p w:rsidR="00D23DE9" w:rsidRDefault="000A44F4" w:rsidP="00677745">
      <w:pPr>
        <w:tabs>
          <w:tab w:val="left" w:pos="270"/>
        </w:tabs>
        <w:spacing w:after="120"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LIVERMORE, California, USA/ CAPELLE A/D IJSSEL, Paesi Bassi, </w:t>
      </w:r>
      <w:r w:rsidR="00677745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5</w:t>
      </w:r>
      <w:r w:rsidRPr="00D23DE9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</w:t>
      </w:r>
      <w:r w:rsidR="00677745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>luglio</w:t>
      </w:r>
      <w:r w:rsidRPr="00D23DE9">
        <w:rPr>
          <w:rFonts w:asciiTheme="minorBidi" w:hAnsiTheme="minorBidi" w:cstheme="minorBidi"/>
          <w:iCs/>
          <w:color w:val="000000"/>
          <w:sz w:val="20"/>
          <w:szCs w:val="20"/>
          <w:lang w:val="it-IT"/>
        </w:rPr>
        <w:t xml:space="preserve"> 2016 –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Topcon Positioning Group annuncia una nuova suite che comprende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 quattro soluzioni integrate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: tre prodotti hardware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“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>uniti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” 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da un'unica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soluzione software, realizzat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>a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 per offrire ai professionisti un sistema di rilevamento topografico potente e completo. La Topcon Elite </w:t>
      </w:r>
      <w:proofErr w:type="spellStart"/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Survey</w:t>
      </w:r>
      <w:proofErr w:type="spellEnd"/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 Suite, che include la nuova serie GT di stazioni totali robotiche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, il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ricevitore GNSS 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ibrido </w:t>
      </w:r>
      <w:proofErr w:type="spellStart"/>
      <w:r w:rsidR="00D23DE9">
        <w:rPr>
          <w:rFonts w:asciiTheme="minorBidi" w:hAnsiTheme="minorBidi" w:cstheme="minorBidi"/>
          <w:sz w:val="20"/>
          <w:szCs w:val="20"/>
          <w:lang w:val="it-IT"/>
        </w:rPr>
        <w:t>HiPer</w:t>
      </w:r>
      <w:proofErr w:type="spellEnd"/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HR, 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il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computer da campo FC-5000 e 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il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software</w:t>
      </w:r>
      <w:r w:rsidR="00963EA7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MAGNET</w:t>
      </w:r>
      <w:r w:rsidR="00D23DE9" w:rsidRPr="00963EA7">
        <w:rPr>
          <w:rFonts w:asciiTheme="minorBidi" w:hAnsiTheme="minorBidi" w:cstheme="minorBidi"/>
          <w:sz w:val="20"/>
          <w:szCs w:val="20"/>
          <w:vertAlign w:val="superscript"/>
          <w:lang w:val="it-IT"/>
        </w:rPr>
        <w:t>®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 4.0</w:t>
      </w:r>
      <w:r w:rsidR="00D23DE9">
        <w:rPr>
          <w:rFonts w:asciiTheme="minorBidi" w:hAnsiTheme="minorBidi" w:cstheme="minorBidi"/>
          <w:sz w:val="20"/>
          <w:szCs w:val="20"/>
          <w:lang w:val="it-IT"/>
        </w:rPr>
        <w:t xml:space="preserve">, 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offre prodotti di punta Topcon per il </w:t>
      </w:r>
      <w:proofErr w:type="spellStart"/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>geoposizionamento</w:t>
      </w:r>
      <w:proofErr w:type="spellEnd"/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 e tecnologia</w:t>
      </w:r>
      <w:r w:rsidR="00963EA7">
        <w:rPr>
          <w:rFonts w:asciiTheme="minorBidi" w:hAnsiTheme="minorBidi" w:cstheme="minorBidi"/>
          <w:sz w:val="20"/>
          <w:szCs w:val="20"/>
          <w:lang w:val="it-IT"/>
        </w:rPr>
        <w:t>,</w:t>
      </w:r>
      <w:r w:rsidR="00D23DE9" w:rsidRPr="00D23DE9">
        <w:rPr>
          <w:rFonts w:asciiTheme="minorBidi" w:hAnsiTheme="minorBidi" w:cstheme="minorBidi"/>
          <w:sz w:val="20"/>
          <w:szCs w:val="20"/>
          <w:lang w:val="it-IT"/>
        </w:rPr>
        <w:t xml:space="preserve"> in un unico sistema.</w:t>
      </w:r>
    </w:p>
    <w:p w:rsidR="00D23DE9" w:rsidRPr="00D23DE9" w:rsidRDefault="00D23DE9" w:rsidP="00382D99">
      <w:pPr>
        <w:tabs>
          <w:tab w:val="left" w:pos="270"/>
        </w:tabs>
        <w:spacing w:after="120"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“I singoli prodotti di Elite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Survey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Suite sono stati </w:t>
      </w:r>
      <w:r w:rsidR="00963EA7">
        <w:rPr>
          <w:rFonts w:asciiTheme="minorBidi" w:hAnsiTheme="minorBidi" w:cstheme="minorBidi"/>
          <w:sz w:val="20"/>
          <w:szCs w:val="20"/>
          <w:lang w:val="it-IT"/>
        </w:rPr>
        <w:t xml:space="preserve">progettati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da zero per lavorare </w:t>
      </w:r>
      <w:r w:rsidR="00963EA7">
        <w:rPr>
          <w:rFonts w:asciiTheme="minorBidi" w:hAnsiTheme="minorBidi" w:cstheme="minorBidi"/>
          <w:sz w:val="20"/>
          <w:szCs w:val="20"/>
          <w:lang w:val="it-IT"/>
        </w:rPr>
        <w:t>insieme</w:t>
      </w:r>
      <w:r w:rsidR="0064436B">
        <w:rPr>
          <w:rFonts w:asciiTheme="minorBidi" w:hAnsiTheme="minorBidi" w:cstheme="minorBidi"/>
          <w:sz w:val="20"/>
          <w:szCs w:val="20"/>
          <w:lang w:val="it-IT"/>
        </w:rPr>
        <w:t>,</w:t>
      </w:r>
      <w:r w:rsidR="00963EA7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6936D5">
        <w:rPr>
          <w:rFonts w:asciiTheme="minorBidi" w:hAnsiTheme="minorBidi" w:cstheme="minorBidi"/>
          <w:sz w:val="20"/>
          <w:szCs w:val="20"/>
          <w:lang w:val="it-IT"/>
        </w:rPr>
        <w:t xml:space="preserve">senza soluzione di continuità,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attraverso un</w:t>
      </w:r>
      <w:r w:rsidR="0064436B">
        <w:rPr>
          <w:rFonts w:asciiTheme="minorBidi" w:hAnsiTheme="minorBidi" w:cstheme="minorBidi"/>
          <w:sz w:val="20"/>
          <w:szCs w:val="20"/>
          <w:lang w:val="it-IT"/>
        </w:rPr>
        <w:t xml:space="preserve"> unico s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oftware: </w:t>
      </w:r>
      <w:r w:rsidR="006936D5">
        <w:rPr>
          <w:rFonts w:asciiTheme="minorBidi" w:hAnsiTheme="minorBidi" w:cstheme="minorBidi"/>
          <w:sz w:val="20"/>
          <w:szCs w:val="20"/>
          <w:lang w:val="it-IT"/>
        </w:rPr>
        <w:t xml:space="preserve">la prima </w:t>
      </w:r>
      <w:r w:rsidR="0064436B">
        <w:rPr>
          <w:rFonts w:asciiTheme="minorBidi" w:hAnsiTheme="minorBidi" w:cstheme="minorBidi"/>
          <w:sz w:val="20"/>
          <w:szCs w:val="20"/>
          <w:lang w:val="it-IT"/>
        </w:rPr>
        <w:t xml:space="preserve">soluzione del genere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nel </w:t>
      </w:r>
      <w:r w:rsidR="0064436B">
        <w:rPr>
          <w:rFonts w:asciiTheme="minorBidi" w:hAnsiTheme="minorBidi" w:cstheme="minorBidi"/>
          <w:sz w:val="20"/>
          <w:szCs w:val="20"/>
          <w:lang w:val="it-IT"/>
        </w:rPr>
        <w:t xml:space="preserve">nostro settore e che vanta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la tecnologia di stazione totale robotica motorizzata più veloce del mercato, il più piccolo e leggero rover GN</w:t>
      </w:r>
      <w:r w:rsidR="00F60590">
        <w:rPr>
          <w:rFonts w:asciiTheme="minorBidi" w:hAnsiTheme="minorBidi" w:cstheme="minorBidi"/>
          <w:sz w:val="20"/>
          <w:szCs w:val="20"/>
          <w:lang w:val="it-IT"/>
        </w:rPr>
        <w:t>S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S del settore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>,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insieme ai </w:t>
      </w:r>
      <w:r w:rsidR="0064436B">
        <w:rPr>
          <w:rFonts w:asciiTheme="minorBidi" w:hAnsiTheme="minorBidi" w:cstheme="minorBidi"/>
          <w:sz w:val="20"/>
          <w:szCs w:val="20"/>
          <w:lang w:val="it-IT"/>
        </w:rPr>
        <w:t xml:space="preserve">più recenti </w:t>
      </w:r>
      <w:r w:rsidR="00F60590">
        <w:rPr>
          <w:rFonts w:asciiTheme="minorBidi" w:hAnsiTheme="minorBidi" w:cstheme="minorBidi"/>
          <w:sz w:val="20"/>
          <w:szCs w:val="20"/>
          <w:lang w:val="it-IT"/>
        </w:rPr>
        <w:t xml:space="preserve">progressi nell'informatica da campo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e il massimo in termini di capacità software,” ha affermato Jason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, </w:t>
      </w:r>
      <w:r w:rsidR="00F60590">
        <w:rPr>
          <w:rFonts w:asciiTheme="minorBidi" w:hAnsiTheme="minorBidi" w:cstheme="minorBidi"/>
          <w:sz w:val="20"/>
          <w:szCs w:val="20"/>
          <w:lang w:val="it-IT"/>
        </w:rPr>
        <w:t xml:space="preserve">vice presidente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Topcon per la gestione prodotti 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a livello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globale.</w:t>
      </w:r>
    </w:p>
    <w:p w:rsidR="00D23DE9" w:rsidRPr="00D23DE9" w:rsidRDefault="00D23DE9" w:rsidP="00382D99">
      <w:pPr>
        <w:tabs>
          <w:tab w:val="left" w:pos="270"/>
        </w:tabs>
        <w:spacing w:after="120"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I motori Topcon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Ultrasonic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Direct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Drive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>,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disponibili con la nuova stazione totale </w:t>
      </w:r>
      <w:r w:rsidRPr="00D23DE9">
        <w:rPr>
          <w:rFonts w:asciiTheme="minorBidi" w:hAnsiTheme="minorBidi" w:cstheme="minorBidi"/>
          <w:b/>
          <w:sz w:val="20"/>
          <w:szCs w:val="20"/>
          <w:lang w:val="it-IT"/>
        </w:rPr>
        <w:t>serie GT</w:t>
      </w:r>
      <w:r w:rsidR="00382D99">
        <w:rPr>
          <w:rFonts w:asciiTheme="minorBidi" w:hAnsiTheme="minorBidi" w:cstheme="minorBidi"/>
          <w:b/>
          <w:sz w:val="20"/>
          <w:szCs w:val="20"/>
          <w:lang w:val="it-IT"/>
        </w:rPr>
        <w:t xml:space="preserve">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hanno una velocità di rotazione che arriva fino a 180 gradi al secondo. “Si tratta del</w:t>
      </w:r>
      <w:r w:rsidR="00F60590">
        <w:rPr>
          <w:rFonts w:asciiTheme="minorBidi" w:hAnsiTheme="minorBidi" w:cstheme="minorBidi"/>
          <w:sz w:val="20"/>
          <w:szCs w:val="20"/>
          <w:lang w:val="it-IT"/>
        </w:rPr>
        <w:t>la stazione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robot</w:t>
      </w:r>
      <w:r w:rsidR="00F60590">
        <w:rPr>
          <w:rFonts w:asciiTheme="minorBidi" w:hAnsiTheme="minorBidi" w:cstheme="minorBidi"/>
          <w:sz w:val="20"/>
          <w:szCs w:val="20"/>
          <w:lang w:val="it-IT"/>
        </w:rPr>
        <w:t>ica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più veloce sul mercato. </w:t>
      </w:r>
      <w:r w:rsidR="00F60590">
        <w:rPr>
          <w:rFonts w:asciiTheme="minorBidi" w:hAnsiTheme="minorBidi" w:cstheme="minorBidi"/>
          <w:sz w:val="20"/>
          <w:szCs w:val="20"/>
          <w:lang w:val="it-IT"/>
        </w:rPr>
        <w:t xml:space="preserve">L'avanzata tecnologia dei motori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UltraTrac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Technology</w:t>
      </w:r>
      <w:proofErr w:type="spellEnd"/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aumenta </w:t>
      </w:r>
      <w:r w:rsidR="00120A84">
        <w:rPr>
          <w:rFonts w:asciiTheme="minorBidi" w:hAnsiTheme="minorBidi" w:cstheme="minorBidi"/>
          <w:sz w:val="20"/>
          <w:szCs w:val="20"/>
          <w:lang w:val="it-IT"/>
        </w:rPr>
        <w:t>considerevolmente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120A84">
        <w:rPr>
          <w:rFonts w:asciiTheme="minorBidi" w:hAnsiTheme="minorBidi" w:cstheme="minorBidi"/>
          <w:sz w:val="20"/>
          <w:szCs w:val="20"/>
          <w:lang w:val="it-IT"/>
        </w:rPr>
        <w:t xml:space="preserve">l'efficacia del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traccia</w:t>
      </w:r>
      <w:r w:rsidR="00120A84">
        <w:rPr>
          <w:rFonts w:asciiTheme="minorBidi" w:hAnsiTheme="minorBidi" w:cstheme="minorBidi"/>
          <w:sz w:val="20"/>
          <w:szCs w:val="20"/>
          <w:lang w:val="it-IT"/>
        </w:rPr>
        <w:t xml:space="preserve">mento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del prisma,” ha affermato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. “La stazione totale è il 30% più piccola e il 30% più leggera, </w:t>
      </w:r>
      <w:r w:rsidR="00120A84">
        <w:rPr>
          <w:rFonts w:asciiTheme="minorBidi" w:hAnsiTheme="minorBidi" w:cstheme="minorBidi"/>
          <w:sz w:val="20"/>
          <w:szCs w:val="20"/>
          <w:lang w:val="it-IT"/>
        </w:rPr>
        <w:t xml:space="preserve">riuscendo 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ma</w:t>
      </w:r>
      <w:r w:rsidR="00120A84">
        <w:rPr>
          <w:rFonts w:asciiTheme="minorBidi" w:hAnsiTheme="minorBidi" w:cstheme="minorBidi"/>
          <w:sz w:val="20"/>
          <w:szCs w:val="20"/>
          <w:lang w:val="it-IT"/>
        </w:rPr>
        <w:t xml:space="preserve">ntenere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i massimi livelli di accuratezza e prestazioni. Maggiore velocità, leggerezza e dimensioni più ridotte</w:t>
      </w:r>
      <w:r w:rsidR="009D63D1">
        <w:rPr>
          <w:rFonts w:asciiTheme="minorBidi" w:hAnsiTheme="minorBidi" w:cstheme="minorBidi"/>
          <w:sz w:val="20"/>
          <w:szCs w:val="20"/>
          <w:lang w:val="it-IT"/>
        </w:rPr>
        <w:t>,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erano i nostri obiettivi durante la realizzazione dell</w:t>
      </w:r>
      <w:r w:rsidR="00120A84">
        <w:rPr>
          <w:rFonts w:asciiTheme="minorBidi" w:hAnsiTheme="minorBidi" w:cstheme="minorBidi"/>
          <w:sz w:val="20"/>
          <w:szCs w:val="20"/>
          <w:lang w:val="it-IT"/>
        </w:rPr>
        <w:t xml:space="preserve">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serie GT.</w:t>
      </w:r>
    </w:p>
    <w:p w:rsidR="00A02B51" w:rsidRPr="00D23DE9" w:rsidRDefault="00D23DE9" w:rsidP="00382D99">
      <w:pPr>
        <w:tabs>
          <w:tab w:val="left" w:pos="270"/>
        </w:tabs>
        <w:spacing w:after="120"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“Costruito </w:t>
      </w:r>
      <w:r w:rsidR="00BE45B1">
        <w:rPr>
          <w:rFonts w:asciiTheme="minorBidi" w:hAnsiTheme="minorBidi" w:cstheme="minorBidi"/>
          <w:sz w:val="20"/>
          <w:szCs w:val="20"/>
          <w:lang w:val="it-IT"/>
        </w:rPr>
        <w:t xml:space="preserve">sulle fondamenta della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serie </w:t>
      </w:r>
      <w:r w:rsidR="00BE45B1">
        <w:rPr>
          <w:rFonts w:asciiTheme="minorBidi" w:hAnsiTheme="minorBidi" w:cstheme="minorBidi"/>
          <w:sz w:val="20"/>
          <w:szCs w:val="20"/>
          <w:lang w:val="it-IT"/>
        </w:rPr>
        <w:t xml:space="preserve">di ricevitori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HiPer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, il nuovo </w:t>
      </w:r>
      <w:proofErr w:type="spellStart"/>
      <w:r w:rsidRPr="00D23DE9">
        <w:rPr>
          <w:rFonts w:asciiTheme="minorBidi" w:hAnsiTheme="minorBidi" w:cstheme="minorBidi"/>
          <w:b/>
          <w:sz w:val="20"/>
          <w:szCs w:val="20"/>
          <w:lang w:val="it-IT"/>
        </w:rPr>
        <w:t>HiPer</w:t>
      </w:r>
      <w:proofErr w:type="spellEnd"/>
      <w:r w:rsidRPr="00D23DE9">
        <w:rPr>
          <w:rFonts w:asciiTheme="minorBidi" w:hAnsiTheme="minorBidi" w:cstheme="minorBidi"/>
          <w:b/>
          <w:sz w:val="20"/>
          <w:szCs w:val="20"/>
          <w:lang w:val="it-IT"/>
        </w:rPr>
        <w:t xml:space="preserve"> HR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è il ricevitore GNNS più piccolo e più leggero al mondo,” ha affermato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>. “È in grado di tracciare tutte le costellazioni, tutti i satelliti e tutti i segnali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disponibili oggi e in futuro. La nuova miglioria tecnologica GNSS integrata nell’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HiPer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HR è la funzionalità TILT</w:t>
      </w:r>
      <w:r w:rsidRPr="00D23DE9">
        <w:rPr>
          <w:rFonts w:asciiTheme="minorBidi" w:hAnsiTheme="minorBidi" w:cstheme="minorBidi"/>
          <w:sz w:val="20"/>
          <w:szCs w:val="20"/>
          <w:vertAlign w:val="superscript"/>
          <w:lang w:val="it-IT"/>
        </w:rPr>
        <w:t>TM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(Topcon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Integrated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Leveling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Technology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>). TILT utilizza una IMU (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inertial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measurement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unit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, ovvero “unità di misura inerziale”) a 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>6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assi e una bussola digitale a 3 assi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 che insieme offrono un avanzato ricevitore </w:t>
      </w:r>
      <w:proofErr w:type="spellStart"/>
      <w:r w:rsidR="00A02B51">
        <w:rPr>
          <w:rFonts w:asciiTheme="minorBidi" w:hAnsiTheme="minorBidi" w:cstheme="minorBidi"/>
          <w:sz w:val="20"/>
          <w:szCs w:val="20"/>
          <w:lang w:val="it-IT"/>
        </w:rPr>
        <w:t>HiPer</w:t>
      </w:r>
      <w:proofErr w:type="spellEnd"/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 HR con 9 assi MEMS (micro </w:t>
      </w:r>
      <w:proofErr w:type="spellStart"/>
      <w:r w:rsidR="00A02B51">
        <w:rPr>
          <w:rFonts w:asciiTheme="minorBidi" w:hAnsiTheme="minorBidi" w:cstheme="minorBidi"/>
          <w:sz w:val="20"/>
          <w:szCs w:val="20"/>
          <w:lang w:val="it-IT"/>
        </w:rPr>
        <w:t>electromechanical</w:t>
      </w:r>
      <w:proofErr w:type="spellEnd"/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proofErr w:type="spellStart"/>
      <w:r w:rsidR="00A02B51" w:rsidRPr="00A02B51">
        <w:rPr>
          <w:rFonts w:asciiTheme="minorBidi" w:hAnsiTheme="minorBidi" w:cstheme="minorBidi"/>
          <w:sz w:val="20"/>
          <w:szCs w:val="20"/>
          <w:lang w:val="it-IT"/>
        </w:rPr>
        <w:t>systems</w:t>
      </w:r>
      <w:proofErr w:type="spellEnd"/>
      <w:r w:rsidR="00A02B51" w:rsidRPr="00A02B51">
        <w:rPr>
          <w:rFonts w:asciiTheme="minorBidi" w:hAnsiTheme="minorBidi" w:cstheme="minorBidi"/>
          <w:sz w:val="20"/>
          <w:szCs w:val="20"/>
          <w:lang w:val="it-IT"/>
        </w:rPr>
        <w:t>)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 per correggere 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gli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errori di misurazione. Ciò consente agli utenti di effettuare misurazioni sul campo rapidamente e 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in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sicurezza anche in s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ituazioni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in cui è difficile o impossibile 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posizionare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il ricevitore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lastRenderedPageBreak/>
        <w:t>p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>erfettamente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verticale,” ha affermato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. Il ricevitore è disponibile con cinque opzioni di comunicazione dati e con classe di impermeabilità IP67. </w:t>
      </w:r>
    </w:p>
    <w:p w:rsidR="00D23DE9" w:rsidRPr="00D23DE9" w:rsidRDefault="00D23DE9" w:rsidP="009D63D1">
      <w:pPr>
        <w:tabs>
          <w:tab w:val="left" w:pos="270"/>
        </w:tabs>
        <w:spacing w:after="120"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“La terza soluzione hardware della suite è il computer da campo </w:t>
      </w:r>
      <w:r w:rsidRPr="00D23DE9">
        <w:rPr>
          <w:rFonts w:asciiTheme="minorBidi" w:hAnsiTheme="minorBidi" w:cstheme="minorBidi"/>
          <w:b/>
          <w:sz w:val="20"/>
          <w:szCs w:val="20"/>
          <w:lang w:val="it-IT"/>
        </w:rPr>
        <w:t>FC-5000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9D63D1">
        <w:rPr>
          <w:rFonts w:asciiTheme="minorBidi" w:hAnsiTheme="minorBidi" w:cstheme="minorBidi"/>
          <w:sz w:val="20"/>
          <w:szCs w:val="20"/>
          <w:lang w:val="it-IT"/>
        </w:rPr>
        <w:t xml:space="preserve">dotato di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due 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>foto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camere</w:t>
      </w:r>
      <w:r w:rsidR="009D63D1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integrate e display da 7</w:t>
      </w:r>
      <w:r w:rsidR="00A02B51">
        <w:rPr>
          <w:rFonts w:asciiTheme="minorBidi" w:hAnsiTheme="minorBidi" w:cstheme="minorBidi"/>
          <w:sz w:val="20"/>
          <w:szCs w:val="20"/>
          <w:lang w:val="it-IT"/>
        </w:rPr>
        <w:t xml:space="preserve">"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leggibile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>al sole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. Questo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avanzato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dispositivo offre agli operatori potenza di elaborazione e opzioni di connettività wireless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>,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6B1D22" w:rsidRPr="00D23DE9">
        <w:rPr>
          <w:rFonts w:asciiTheme="minorBidi" w:hAnsiTheme="minorBidi" w:cstheme="minorBidi"/>
          <w:sz w:val="20"/>
          <w:szCs w:val="20"/>
          <w:lang w:val="it-IT"/>
        </w:rPr>
        <w:t>essenziali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>in un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cantiere</w:t>
      </w:r>
      <w:r w:rsidR="009D63D1">
        <w:rPr>
          <w:rFonts w:asciiTheme="minorBidi" w:hAnsiTheme="minorBidi" w:cstheme="minorBidi"/>
          <w:sz w:val="20"/>
          <w:szCs w:val="20"/>
          <w:lang w:val="it-IT"/>
        </w:rPr>
        <w:t xml:space="preserve"> moderno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: è completo inoltre di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touchscreen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di facile utilizzo anche in condizioni ambientali proibitive,” ha </w:t>
      </w:r>
      <w:r w:rsidR="009D63D1">
        <w:rPr>
          <w:rFonts w:asciiTheme="minorBidi" w:hAnsiTheme="minorBidi" w:cstheme="minorBidi"/>
          <w:sz w:val="20"/>
          <w:szCs w:val="20"/>
          <w:lang w:val="it-IT"/>
        </w:rPr>
        <w:t>aggiunto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.</w:t>
      </w:r>
    </w:p>
    <w:p w:rsidR="00D23DE9" w:rsidRPr="00D23DE9" w:rsidRDefault="00D23DE9" w:rsidP="00382D99">
      <w:pPr>
        <w:tabs>
          <w:tab w:val="left" w:pos="270"/>
        </w:tabs>
        <w:spacing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“Il tutto è ‘tenuto insieme’ dalla suite software </w:t>
      </w:r>
      <w:r w:rsidRPr="00D23DE9">
        <w:rPr>
          <w:rFonts w:asciiTheme="minorBidi" w:hAnsiTheme="minorBidi" w:cstheme="minorBidi"/>
          <w:b/>
          <w:sz w:val="20"/>
          <w:szCs w:val="20"/>
          <w:lang w:val="it-IT"/>
        </w:rPr>
        <w:t>MAGNET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,” ha affermato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.  MAGNET 4.0 offre supporto software all’hardware tramite MAGNET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Field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, MAGNET Office e un significativo aggiornamento ai servizi web di MAGNET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Enterprise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che offre un’integrazione con i servizi 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di Topcon </w:t>
      </w:r>
      <w:hyperlink r:id="rId8" w:history="1">
        <w:r w:rsidRPr="00D23DE9">
          <w:rPr>
            <w:rStyle w:val="Collegamentoipertestuale"/>
            <w:rFonts w:asciiTheme="minorBidi" w:hAnsiTheme="minorBidi" w:cstheme="minorBidi"/>
            <w:sz w:val="20"/>
            <w:szCs w:val="20"/>
            <w:lang w:val="it-IT"/>
          </w:rPr>
          <w:t>Sitelink3D</w:t>
        </w:r>
      </w:hyperlink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per le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attività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>di cantiere</w:t>
      </w:r>
      <w:r w:rsidR="00221DC0">
        <w:rPr>
          <w:rFonts w:asciiTheme="minorBidi" w:hAnsiTheme="minorBidi" w:cstheme="minorBidi"/>
          <w:sz w:val="20"/>
          <w:szCs w:val="20"/>
          <w:lang w:val="it-IT"/>
        </w:rPr>
        <w:t>,</w:t>
      </w:r>
      <w:r w:rsidR="00382D9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per il trasferimento istantaneo di dati e per la connettività nei cantieri di progetto attivi. MAGNET 4.0 offre inoltre un nuovo livello di comunicazione diretta con altri sistemi, come la collaborazione con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ProjectWise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di Bentley e un sistema di gestione dei contenuti. Continuiamo anche a fornire un’integrazione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diretta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con i prodotti software di Autodesk,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come Autodesk Point Layout, 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>dimostra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zione di come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MAGNET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sia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una risorsa compatibile per vari sistemi,” ha dichiarato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>.</w:t>
      </w:r>
    </w:p>
    <w:p w:rsidR="00D23DE9" w:rsidRPr="00D23DE9" w:rsidRDefault="00D23DE9" w:rsidP="00D23DE9">
      <w:pPr>
        <w:tabs>
          <w:tab w:val="left" w:pos="270"/>
        </w:tabs>
        <w:spacing w:line="360" w:lineRule="auto"/>
        <w:rPr>
          <w:rFonts w:asciiTheme="minorBidi" w:hAnsiTheme="minorBidi" w:cstheme="minorBidi"/>
          <w:sz w:val="20"/>
          <w:szCs w:val="20"/>
          <w:lang w:val="it-IT"/>
        </w:rPr>
      </w:pPr>
    </w:p>
    <w:p w:rsidR="00D23DE9" w:rsidRPr="00D23DE9" w:rsidRDefault="00D23DE9" w:rsidP="006B1D22">
      <w:pPr>
        <w:tabs>
          <w:tab w:val="left" w:pos="270"/>
        </w:tabs>
        <w:spacing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“Topcon è impegnata a fornire ai professionisti un sistema coeso che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sia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al contempo facile da usare e potente,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fornendo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velocità supersonica con la serie GT, connettività avanzata con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HiPer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HR, potenza compatta con l’FC-5000 e una connettività </w:t>
      </w:r>
      <w:r w:rsidR="006B1D22">
        <w:rPr>
          <w:rFonts w:asciiTheme="minorBidi" w:hAnsiTheme="minorBidi" w:cstheme="minorBidi"/>
          <w:sz w:val="20"/>
          <w:szCs w:val="20"/>
          <w:lang w:val="it-IT"/>
        </w:rPr>
        <w:t xml:space="preserve">completa </w:t>
      </w: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con MAGNET dal cantiere all’ufficio, il tutto in un’unica soluzione leader nel settore,” ha affermato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Hallett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. “Questo è ciò che abbiamo fatto con Elite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Survey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Suite.”  </w:t>
      </w:r>
    </w:p>
    <w:p w:rsidR="00D23DE9" w:rsidRPr="00D23DE9" w:rsidRDefault="00D23DE9" w:rsidP="00D23DE9">
      <w:pPr>
        <w:tabs>
          <w:tab w:val="left" w:pos="270"/>
        </w:tabs>
        <w:spacing w:line="360" w:lineRule="auto"/>
        <w:rPr>
          <w:rFonts w:asciiTheme="minorBidi" w:hAnsiTheme="minorBidi" w:cstheme="minorBidi"/>
          <w:sz w:val="20"/>
          <w:szCs w:val="20"/>
          <w:lang w:val="it-IT"/>
        </w:rPr>
      </w:pPr>
    </w:p>
    <w:p w:rsidR="00D23DE9" w:rsidRPr="00D23DE9" w:rsidRDefault="00D23DE9" w:rsidP="00D23DE9">
      <w:pPr>
        <w:tabs>
          <w:tab w:val="left" w:pos="270"/>
        </w:tabs>
        <w:spacing w:line="360" w:lineRule="auto"/>
        <w:rPr>
          <w:rFonts w:asciiTheme="minorBidi" w:hAnsiTheme="minorBidi" w:cstheme="minorBidi"/>
          <w:sz w:val="20"/>
          <w:szCs w:val="20"/>
          <w:lang w:val="it-IT"/>
        </w:rPr>
      </w:pPr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Per maggiori informazioni su Elite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Survey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Suite consultare il sito </w:t>
      </w:r>
      <w:proofErr w:type="spellStart"/>
      <w:r w:rsidRPr="00D23DE9">
        <w:rPr>
          <w:rFonts w:asciiTheme="minorBidi" w:hAnsiTheme="minorBidi" w:cstheme="minorBidi"/>
          <w:sz w:val="20"/>
          <w:szCs w:val="20"/>
          <w:lang w:val="it-IT"/>
        </w:rPr>
        <w:t>topconpositioning.com.</w:t>
      </w:r>
      <w:proofErr w:type="spellEnd"/>
      <w:r w:rsidRPr="00D23DE9">
        <w:rPr>
          <w:rFonts w:asciiTheme="minorBidi" w:hAnsiTheme="minorBidi" w:cstheme="minorBidi"/>
          <w:sz w:val="20"/>
          <w:szCs w:val="20"/>
          <w:lang w:val="it-IT"/>
        </w:rPr>
        <w:t xml:space="preserve"> </w:t>
      </w:r>
    </w:p>
    <w:p w:rsidR="007543F2" w:rsidRPr="005046A6" w:rsidRDefault="007543F2" w:rsidP="00D23DE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677745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677745">
        <w:rPr>
          <w:rFonts w:ascii="Arial" w:hAnsi="Arial" w:cs="Arial"/>
          <w:sz w:val="16"/>
          <w:szCs w:val="18"/>
          <w:lang w:val="it-IT"/>
        </w:rPr>
        <w:t># # #</w:t>
      </w:r>
    </w:p>
    <w:p w:rsidR="008E0F3F" w:rsidRPr="00677745" w:rsidRDefault="008E0F3F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9D63D1" w:rsidRPr="0007168A" w:rsidRDefault="009D63D1" w:rsidP="009D63D1">
      <w:pPr>
        <w:tabs>
          <w:tab w:val="left" w:pos="270"/>
        </w:tabs>
        <w:rPr>
          <w:rFonts w:ascii="Arial" w:hAnsi="Arial"/>
          <w:b/>
          <w:color w:val="808080"/>
          <w:sz w:val="14"/>
          <w:szCs w:val="14"/>
          <w:lang w:val="it-IT"/>
        </w:rPr>
      </w:pPr>
      <w:r w:rsidRPr="0007168A">
        <w:rPr>
          <w:rFonts w:ascii="Arial" w:hAnsi="Arial"/>
          <w:b/>
          <w:i/>
          <w:iCs/>
          <w:color w:val="808080"/>
          <w:sz w:val="14"/>
          <w:szCs w:val="14"/>
          <w:lang w:val="it-IT"/>
        </w:rPr>
        <w:t>Autodesk è un marchio commerciale registrato di Autodesk, Inc.</w:t>
      </w:r>
    </w:p>
    <w:p w:rsidR="006B1D22" w:rsidRPr="009D63D1" w:rsidRDefault="006B1D22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6B1D22" w:rsidRPr="009D63D1" w:rsidRDefault="006B1D22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9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A630ED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A630ED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A630ED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0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7543F2" w:rsidRPr="00A56366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6B1D22" w:rsidRPr="006B1D22" w:rsidRDefault="00A630ED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hyperlink r:id="rId11" w:history="1">
        <w:r w:rsidR="006B1D22" w:rsidRPr="006B1D22">
          <w:rPr>
            <w:rStyle w:val="Collegamentoipertestuale"/>
            <w:rFonts w:ascii="Arial" w:hAnsi="Arial"/>
            <w:sz w:val="14"/>
            <w:szCs w:val="18"/>
            <w:lang w:val="it-IT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proofErr w:type="spellStart"/>
      <w:r w:rsidRPr="006B1D22">
        <w:rPr>
          <w:rFonts w:ascii="Arial" w:hAnsi="Arial"/>
          <w:color w:val="808080"/>
          <w:sz w:val="14"/>
          <w:szCs w:val="18"/>
          <w:lang w:val="it-IT"/>
        </w:rPr>
        <w:t>Europe</w:t>
      </w:r>
      <w:proofErr w:type="spellEnd"/>
      <w:r w:rsidRPr="006B1D22">
        <w:rPr>
          <w:rFonts w:ascii="Arial" w:hAnsi="Arial"/>
          <w:color w:val="808080"/>
          <w:sz w:val="14"/>
          <w:szCs w:val="18"/>
          <w:lang w:val="it-IT"/>
        </w:rPr>
        <w:t>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0F6602" w:rsidRPr="0079310B" w:rsidRDefault="001631B8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33E9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sectPr w:rsidR="000F6602" w:rsidRPr="0079310B" w:rsidSect="0009234C">
      <w:headerReference w:type="first" r:id="rId1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512" w:rsidRDefault="00284512">
      <w:r>
        <w:separator/>
      </w:r>
    </w:p>
  </w:endnote>
  <w:endnote w:type="continuationSeparator" w:id="0">
    <w:p w:rsidR="00284512" w:rsidRDefault="00284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512" w:rsidRDefault="00284512">
      <w:r>
        <w:separator/>
      </w:r>
    </w:p>
  </w:footnote>
  <w:footnote w:type="continuationSeparator" w:id="0">
    <w:p w:rsidR="00284512" w:rsidRDefault="00284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A630ED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A630ED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51AA"/>
    <w:rsid w:val="00283421"/>
    <w:rsid w:val="00284512"/>
    <w:rsid w:val="002A0183"/>
    <w:rsid w:val="002A3171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E05C2"/>
    <w:rsid w:val="007030F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C441F"/>
    <w:rsid w:val="009D22F7"/>
    <w:rsid w:val="009D63D1"/>
    <w:rsid w:val="00A02B51"/>
    <w:rsid w:val="00A06D66"/>
    <w:rsid w:val="00A25B25"/>
    <w:rsid w:val="00A32C8A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638D1"/>
    <w:rsid w:val="00C7597C"/>
    <w:rsid w:val="00C81D46"/>
    <w:rsid w:val="00C90333"/>
    <w:rsid w:val="00C92C21"/>
    <w:rsid w:val="00CB2E2B"/>
    <w:rsid w:val="00CB56B2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software/office/sitelink3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rpComm@topcon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lobal.top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5006</Characters>
  <Application>Microsoft Office Word</Application>
  <DocSecurity>0</DocSecurity>
  <Lines>74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/>
      <vt:lpstr/>
      <vt:lpstr/>
      <vt:lpstr>Topcon presenta Elite Survey Suite</vt:lpstr>
    </vt:vector>
  </TitlesOfParts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2016-04-06T10:44:00Z</dcterms:created>
  <dcterms:modified xsi:type="dcterms:W3CDTF">2016-07-13T13:26:00Z</dcterms:modified>
</cp:coreProperties>
</file>