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D99527" w14:textId="4D19991D" w:rsidR="009A0004" w:rsidRDefault="008C66DC" w:rsidP="009A0004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  <w:r>
        <w:rPr>
          <w:rFonts w:ascii="Arial" w:eastAsiaTheme="majorEastAsia" w:hAnsi="Arial" w:cstheme="majorBidi"/>
          <w:b/>
          <w:bCs/>
          <w:noProof/>
          <w:color w:val="0079C2"/>
          <w:sz w:val="36"/>
          <w:szCs w:val="36"/>
        </w:rPr>
        <w:drawing>
          <wp:inline distT="0" distB="0" distL="0" distR="0" wp14:anchorId="51FDD7F6" wp14:editId="12EBC2C8">
            <wp:extent cx="867602" cy="1301404"/>
            <wp:effectExtent l="0" t="0" r="0" b="0"/>
            <wp:docPr id="3" name="Picture 3" descr="/Volumes/Docs/Publicity/Active/Press Kits for Web Upload/2017/Topcon_Press-kit_ES 60 series/ES-65_Field-3 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7/Topcon_Press-kit_ES 60 series/ES-65_Field-3 thum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169" cy="133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  <w:t xml:space="preserve">   </w:t>
      </w:r>
      <w:r>
        <w:rPr>
          <w:rFonts w:ascii="Arial" w:eastAsiaTheme="majorEastAsia" w:hAnsi="Arial" w:cstheme="majorBidi"/>
          <w:b/>
          <w:bCs/>
          <w:noProof/>
          <w:color w:val="0079C2"/>
          <w:sz w:val="36"/>
          <w:szCs w:val="36"/>
        </w:rPr>
        <w:drawing>
          <wp:inline distT="0" distB="0" distL="0" distR="0" wp14:anchorId="4F3A3B8B" wp14:editId="43F1C5E5">
            <wp:extent cx="768408" cy="1314030"/>
            <wp:effectExtent l="0" t="0" r="0" b="6985"/>
            <wp:docPr id="4" name="Picture 4" descr="/Volumes/Docs/Publicity/Active/Press Kits for Web Upload/2017/Topcon_Press-kit_ES 60 series/ES_3-4_Right_w_Sight 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Docs/Publicity/Active/Press Kits for Web Upload/2017/Topcon_Press-kit_ES 60 series/ES_3-4_Right_w_Sight thum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272" cy="137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0243A" w14:textId="77777777" w:rsidR="009A0004" w:rsidRPr="009A0004" w:rsidRDefault="009A0004" w:rsidP="009A0004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12"/>
          <w:szCs w:val="36"/>
        </w:rPr>
      </w:pPr>
    </w:p>
    <w:p w14:paraId="56EA2927" w14:textId="1BA97DFB" w:rsidR="00053852" w:rsidRDefault="00E3215D" w:rsidP="008C66D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i/>
          <w:color w:val="0079C2"/>
          <w:sz w:val="36"/>
          <w:szCs w:val="36"/>
        </w:rPr>
      </w:pPr>
      <w:r w:rsidRPr="00E3215D"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  <w:t>Topcon announces new ES series total station with advanced data transfer functionality</w:t>
      </w:r>
    </w:p>
    <w:p w14:paraId="5052D24F" w14:textId="77777777" w:rsidR="008C66DC" w:rsidRPr="008C66DC" w:rsidRDefault="008C66DC" w:rsidP="008C66D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i/>
          <w:color w:val="0079C2"/>
          <w:sz w:val="18"/>
          <w:szCs w:val="36"/>
        </w:rPr>
      </w:pPr>
    </w:p>
    <w:p w14:paraId="3C4EFB97" w14:textId="348F4CBB" w:rsidR="00E3215D" w:rsidRPr="00E3215D" w:rsidRDefault="00E3215D" w:rsidP="00E3215D">
      <w:pPr>
        <w:tabs>
          <w:tab w:val="left" w:pos="270"/>
        </w:tabs>
        <w:rPr>
          <w:rFonts w:ascii="Arial" w:hAnsi="Arial"/>
          <w:color w:val="000000"/>
          <w:szCs w:val="20"/>
        </w:rPr>
      </w:pPr>
      <w:r>
        <w:rPr>
          <w:rFonts w:ascii="Arial" w:hAnsi="Arial"/>
          <w:i/>
          <w:color w:val="000000"/>
          <w:szCs w:val="20"/>
        </w:rPr>
        <w:t xml:space="preserve">LIVERMORE, Calif. </w:t>
      </w:r>
      <w:r w:rsidR="00053852" w:rsidRPr="00053852">
        <w:rPr>
          <w:rFonts w:ascii="Arial" w:hAnsi="Arial"/>
          <w:i/>
          <w:color w:val="000000"/>
          <w:szCs w:val="20"/>
        </w:rPr>
        <w:t xml:space="preserve">– </w:t>
      </w:r>
      <w:r w:rsidR="00545241">
        <w:rPr>
          <w:rFonts w:ascii="Arial" w:hAnsi="Arial"/>
          <w:i/>
          <w:color w:val="000000"/>
          <w:szCs w:val="20"/>
        </w:rPr>
        <w:t>January 24</w:t>
      </w:r>
      <w:r>
        <w:rPr>
          <w:rFonts w:ascii="Arial" w:hAnsi="Arial"/>
          <w:i/>
          <w:color w:val="000000"/>
          <w:szCs w:val="20"/>
        </w:rPr>
        <w:t>, 2017</w:t>
      </w:r>
      <w:r w:rsidR="00053852">
        <w:rPr>
          <w:rFonts w:ascii="Arial" w:hAnsi="Arial"/>
          <w:i/>
          <w:color w:val="000000"/>
          <w:szCs w:val="20"/>
        </w:rPr>
        <w:t xml:space="preserve"> </w:t>
      </w:r>
      <w:r w:rsidR="00053852" w:rsidRPr="00053852">
        <w:rPr>
          <w:rFonts w:ascii="Arial" w:hAnsi="Arial"/>
          <w:i/>
          <w:color w:val="000000"/>
          <w:szCs w:val="20"/>
        </w:rPr>
        <w:t xml:space="preserve">– </w:t>
      </w:r>
      <w:r w:rsidRPr="00E3215D">
        <w:rPr>
          <w:rFonts w:ascii="Arial" w:hAnsi="Arial"/>
          <w:color w:val="000000"/>
          <w:szCs w:val="20"/>
        </w:rPr>
        <w:t xml:space="preserve">Topcon Positioning Group announces the release of the latest addition to its </w:t>
      </w:r>
      <w:hyperlink r:id="rId10" w:history="1">
        <w:r w:rsidRPr="00F472E2">
          <w:rPr>
            <w:rStyle w:val="Hyperlink"/>
            <w:rFonts w:ascii="Arial" w:hAnsi="Arial"/>
            <w:szCs w:val="20"/>
          </w:rPr>
          <w:t>ES total station series</w:t>
        </w:r>
      </w:hyperlink>
      <w:r w:rsidRPr="00E3215D">
        <w:rPr>
          <w:rFonts w:ascii="Arial" w:hAnsi="Arial"/>
          <w:color w:val="000000"/>
          <w:szCs w:val="20"/>
        </w:rPr>
        <w:t xml:space="preserve"> in the Americas, the </w:t>
      </w:r>
      <w:r w:rsidRPr="007679DE">
        <w:rPr>
          <w:rFonts w:ascii="Arial" w:hAnsi="Arial"/>
          <w:szCs w:val="20"/>
        </w:rPr>
        <w:t>ES-60</w:t>
      </w:r>
      <w:r w:rsidRPr="00E3215D">
        <w:rPr>
          <w:rFonts w:ascii="Arial" w:hAnsi="Arial"/>
          <w:color w:val="000000"/>
          <w:szCs w:val="20"/>
        </w:rPr>
        <w:t xml:space="preserve">. Featuring advanced </w:t>
      </w:r>
      <w:proofErr w:type="spellStart"/>
      <w:r w:rsidRPr="00E3215D">
        <w:rPr>
          <w:rFonts w:ascii="Arial" w:hAnsi="Arial"/>
          <w:color w:val="000000"/>
          <w:szCs w:val="20"/>
        </w:rPr>
        <w:t>reflectorless</w:t>
      </w:r>
      <w:proofErr w:type="spellEnd"/>
      <w:r w:rsidRPr="00E3215D">
        <w:rPr>
          <w:rFonts w:ascii="Arial" w:hAnsi="Arial"/>
          <w:color w:val="000000"/>
          <w:szCs w:val="20"/>
        </w:rPr>
        <w:t xml:space="preserve"> capabilities and an upgraded data transfer functionality — the new </w:t>
      </w:r>
      <w:r w:rsidRPr="00B267B0">
        <w:rPr>
          <w:rFonts w:ascii="Arial" w:hAnsi="Arial"/>
          <w:szCs w:val="20"/>
        </w:rPr>
        <w:t>ES-60</w:t>
      </w:r>
      <w:r w:rsidRPr="00E3215D">
        <w:rPr>
          <w:rFonts w:ascii="Arial" w:hAnsi="Arial"/>
          <w:color w:val="000000"/>
          <w:szCs w:val="20"/>
        </w:rPr>
        <w:t xml:space="preserve"> is designed to </w:t>
      </w:r>
      <w:bookmarkStart w:id="0" w:name="_GoBack"/>
      <w:bookmarkEnd w:id="0"/>
      <w:r w:rsidRPr="00E3215D">
        <w:rPr>
          <w:rFonts w:ascii="Arial" w:hAnsi="Arial"/>
          <w:color w:val="000000"/>
          <w:szCs w:val="20"/>
        </w:rPr>
        <w:t>provide an entry-level total station option with a fast and powerful EDM.</w:t>
      </w:r>
    </w:p>
    <w:p w14:paraId="3D16AB0B" w14:textId="77777777" w:rsidR="00E3215D" w:rsidRPr="00E3215D" w:rsidRDefault="00E3215D" w:rsidP="00E3215D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29ACA102" w14:textId="6FA309D1" w:rsidR="00E3215D" w:rsidRPr="00E3215D" w:rsidRDefault="00E3215D" w:rsidP="00E3215D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E3215D">
        <w:rPr>
          <w:rFonts w:ascii="Arial" w:hAnsi="Arial"/>
          <w:color w:val="000000"/>
          <w:szCs w:val="20"/>
        </w:rPr>
        <w:t xml:space="preserve">“The ES-60 is an excellent solution for customers looking for the dependability and accuracy of the ES series in an entry-level package,” said Ray </w:t>
      </w:r>
      <w:proofErr w:type="spellStart"/>
      <w:r w:rsidRPr="00E3215D">
        <w:rPr>
          <w:rFonts w:ascii="Arial" w:hAnsi="Arial"/>
          <w:color w:val="000000"/>
          <w:szCs w:val="20"/>
        </w:rPr>
        <w:t>Kerwin</w:t>
      </w:r>
      <w:proofErr w:type="spellEnd"/>
      <w:r w:rsidRPr="00E3215D">
        <w:rPr>
          <w:rFonts w:ascii="Arial" w:hAnsi="Arial"/>
          <w:color w:val="000000"/>
          <w:szCs w:val="20"/>
        </w:rPr>
        <w:t xml:space="preserve">, director of global surveying products. “Incorporating all the time-honored expectations of the ES series along with a </w:t>
      </w:r>
      <w:proofErr w:type="spellStart"/>
      <w:r w:rsidRPr="00E3215D">
        <w:rPr>
          <w:rFonts w:ascii="Arial" w:hAnsi="Arial"/>
          <w:color w:val="000000"/>
          <w:szCs w:val="20"/>
        </w:rPr>
        <w:t>reflectorless</w:t>
      </w:r>
      <w:proofErr w:type="spellEnd"/>
      <w:r w:rsidRPr="00E3215D">
        <w:rPr>
          <w:rFonts w:ascii="Arial" w:hAnsi="Arial"/>
          <w:color w:val="000000"/>
          <w:szCs w:val="20"/>
        </w:rPr>
        <w:t xml:space="preserve"> EDM of up to 350 m, and 4000 m </w:t>
      </w:r>
      <w:r w:rsidR="00A86ADE">
        <w:rPr>
          <w:rFonts w:ascii="Arial" w:hAnsi="Arial"/>
          <w:color w:val="000000"/>
          <w:szCs w:val="20"/>
        </w:rPr>
        <w:t xml:space="preserve">with </w:t>
      </w:r>
      <w:r w:rsidRPr="00E3215D">
        <w:rPr>
          <w:rFonts w:ascii="Arial" w:hAnsi="Arial"/>
          <w:color w:val="000000"/>
          <w:szCs w:val="20"/>
        </w:rPr>
        <w:t>a prism — the instrument also offers a USB option for quick and easy data transfer.”</w:t>
      </w:r>
    </w:p>
    <w:p w14:paraId="5EA9A5A9" w14:textId="77777777" w:rsidR="00E3215D" w:rsidRPr="00E3215D" w:rsidRDefault="00E3215D" w:rsidP="00E3215D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2D453FBA" w14:textId="77777777" w:rsidR="00E3215D" w:rsidRPr="00E3215D" w:rsidRDefault="00E3215D" w:rsidP="00E3215D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E3215D">
        <w:rPr>
          <w:rFonts w:ascii="Arial" w:hAnsi="Arial"/>
          <w:color w:val="000000"/>
          <w:szCs w:val="20"/>
        </w:rPr>
        <w:t xml:space="preserve">The ES-60 offers 2 and 5 arc second accuracies. “It’s ideal for land surveying, topography, construction layout, foundations and exterior job sites as well as as-built projects,” said </w:t>
      </w:r>
      <w:proofErr w:type="spellStart"/>
      <w:r w:rsidRPr="00E3215D">
        <w:rPr>
          <w:rFonts w:ascii="Arial" w:hAnsi="Arial"/>
          <w:color w:val="000000"/>
          <w:szCs w:val="20"/>
        </w:rPr>
        <w:t>Kerwin</w:t>
      </w:r>
      <w:proofErr w:type="spellEnd"/>
      <w:r w:rsidRPr="00E3215D">
        <w:rPr>
          <w:rFonts w:ascii="Arial" w:hAnsi="Arial"/>
          <w:color w:val="000000"/>
          <w:szCs w:val="20"/>
        </w:rPr>
        <w:t>.</w:t>
      </w:r>
    </w:p>
    <w:p w14:paraId="54AA9BA9" w14:textId="77777777" w:rsidR="00E3215D" w:rsidRPr="00E3215D" w:rsidRDefault="00E3215D" w:rsidP="00E3215D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30227B1C" w14:textId="77777777" w:rsidR="00E3215D" w:rsidRPr="00E3215D" w:rsidRDefault="00E3215D" w:rsidP="00E3215D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E3215D">
        <w:rPr>
          <w:rFonts w:ascii="Arial" w:hAnsi="Arial"/>
          <w:color w:val="000000"/>
          <w:szCs w:val="20"/>
        </w:rPr>
        <w:t>Additional features include 10,000 points of memory, a battery life of up to 15 hours, dual axis compensation, a waterproof design, and a laser pointer.</w:t>
      </w:r>
    </w:p>
    <w:p w14:paraId="35D9BD69" w14:textId="77777777" w:rsidR="00E3215D" w:rsidRPr="00E3215D" w:rsidRDefault="00E3215D" w:rsidP="00E3215D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4166226F" w14:textId="145B0F85" w:rsidR="00053852" w:rsidRPr="00053852" w:rsidRDefault="00E3215D" w:rsidP="00053852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E3215D">
        <w:rPr>
          <w:rFonts w:ascii="Arial" w:hAnsi="Arial"/>
          <w:color w:val="000000"/>
          <w:szCs w:val="20"/>
        </w:rPr>
        <w:t xml:space="preserve">For more information, visit </w:t>
      </w:r>
      <w:hyperlink r:id="rId11" w:history="1">
        <w:r w:rsidRPr="00E3215D">
          <w:rPr>
            <w:rStyle w:val="Hyperlink"/>
            <w:rFonts w:ascii="Arial" w:hAnsi="Arial"/>
            <w:szCs w:val="20"/>
          </w:rPr>
          <w:t>topconpositioning.com</w:t>
        </w:r>
      </w:hyperlink>
      <w:r w:rsidRPr="00E3215D">
        <w:rPr>
          <w:rFonts w:ascii="Arial" w:hAnsi="Arial"/>
          <w:color w:val="000000"/>
          <w:szCs w:val="20"/>
        </w:rPr>
        <w:t>.</w:t>
      </w:r>
    </w:p>
    <w:p w14:paraId="6FEC0C83" w14:textId="77777777" w:rsidR="009A0004" w:rsidRPr="008C66DC" w:rsidRDefault="009A0004" w:rsidP="00DC59E3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495923CD" w14:textId="0BCAC331" w:rsidR="00594377" w:rsidRPr="00053852" w:rsidRDefault="001855FB" w:rsidP="00594377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20"/>
          <w:szCs w:val="20"/>
        </w:rPr>
      </w:pPr>
      <w:r w:rsidRPr="00053852">
        <w:rPr>
          <w:rFonts w:ascii="Arial" w:hAnsi="Arial"/>
          <w:b/>
          <w:color w:val="808080" w:themeColor="background1" w:themeShade="80"/>
          <w:sz w:val="20"/>
          <w:szCs w:val="20"/>
        </w:rPr>
        <w:t xml:space="preserve">About Topcon </w:t>
      </w:r>
      <w:r w:rsidR="006829E3" w:rsidRPr="00053852">
        <w:rPr>
          <w:rFonts w:ascii="Arial" w:hAnsi="Arial"/>
          <w:b/>
          <w:color w:val="808080" w:themeColor="background1" w:themeShade="80"/>
          <w:sz w:val="20"/>
          <w:szCs w:val="20"/>
        </w:rPr>
        <w:t xml:space="preserve">Positioning </w:t>
      </w:r>
      <w:r w:rsidRPr="00053852">
        <w:rPr>
          <w:rFonts w:ascii="Arial" w:hAnsi="Arial"/>
          <w:b/>
          <w:color w:val="808080" w:themeColor="background1" w:themeShade="80"/>
          <w:sz w:val="20"/>
          <w:szCs w:val="20"/>
        </w:rPr>
        <w:t>Gr</w:t>
      </w:r>
      <w:r w:rsidR="00DC59E3" w:rsidRPr="00053852">
        <w:rPr>
          <w:rFonts w:ascii="Arial" w:hAnsi="Arial"/>
          <w:b/>
          <w:color w:val="808080" w:themeColor="background1" w:themeShade="80"/>
          <w:sz w:val="20"/>
          <w:szCs w:val="20"/>
        </w:rPr>
        <w:t>oup</w:t>
      </w:r>
      <w:r w:rsidR="00DC59E3" w:rsidRPr="00053852">
        <w:rPr>
          <w:rFonts w:ascii="Arial" w:eastAsiaTheme="minorEastAsia" w:hAnsi="Arial" w:cs="Arial"/>
          <w:b/>
          <w:sz w:val="20"/>
          <w:szCs w:val="20"/>
          <w:lang w:eastAsia="ja-JP"/>
        </w:rPr>
        <w:t xml:space="preserve"> </w:t>
      </w:r>
    </w:p>
    <w:p w14:paraId="0643D7AA" w14:textId="35B7E839" w:rsidR="00053852" w:rsidRPr="00E3215D" w:rsidRDefault="00053852" w:rsidP="00DC59E3">
      <w:pPr>
        <w:tabs>
          <w:tab w:val="left" w:pos="270"/>
        </w:tabs>
        <w:rPr>
          <w:rFonts w:ascii="Arial" w:hAnsi="Arial"/>
          <w:color w:val="808080" w:themeColor="background1" w:themeShade="80"/>
          <w:sz w:val="20"/>
          <w:szCs w:val="20"/>
        </w:rPr>
      </w:pPr>
      <w:r w:rsidRPr="00053852">
        <w:rPr>
          <w:rFonts w:ascii="Arial" w:hAnsi="Arial"/>
          <w:color w:val="808080" w:themeColor="background1" w:themeShade="80"/>
          <w:sz w:val="20"/>
          <w:szCs w:val="20"/>
        </w:rPr>
        <w:t>Topcon Positioning Group is headquartered in Livermore, California, USA (</w:t>
      </w:r>
      <w:hyperlink r:id="rId12" w:history="1">
        <w:r w:rsidRPr="00053852">
          <w:rPr>
            <w:rStyle w:val="Hyperlink"/>
            <w:rFonts w:ascii="Arial" w:hAnsi="Arial"/>
            <w:sz w:val="20"/>
            <w:szCs w:val="20"/>
          </w:rPr>
          <w:t>topconpositioning.com</w:t>
        </w:r>
      </w:hyperlink>
      <w:r w:rsidR="00E3215D">
        <w:rPr>
          <w:rFonts w:ascii="Arial" w:hAnsi="Arial"/>
          <w:color w:val="808080" w:themeColor="background1" w:themeShade="80"/>
          <w:sz w:val="20"/>
          <w:szCs w:val="20"/>
        </w:rPr>
        <w:t xml:space="preserve">). </w:t>
      </w:r>
      <w:r w:rsidRPr="00053852">
        <w:rPr>
          <w:rFonts w:ascii="Arial" w:hAnsi="Arial"/>
          <w:color w:val="808080" w:themeColor="background1" w:themeShade="80"/>
          <w:sz w:val="20"/>
          <w:szCs w:val="20"/>
        </w:rPr>
        <w:t xml:space="preserve">Its European head office is in </w:t>
      </w:r>
      <w:proofErr w:type="spellStart"/>
      <w:r w:rsidRPr="00053852">
        <w:rPr>
          <w:rFonts w:ascii="Arial" w:hAnsi="Arial"/>
          <w:color w:val="808080" w:themeColor="background1" w:themeShade="80"/>
          <w:sz w:val="20"/>
          <w:szCs w:val="20"/>
        </w:rPr>
        <w:t>Capelle</w:t>
      </w:r>
      <w:proofErr w:type="spellEnd"/>
      <w:r w:rsidRPr="00053852">
        <w:rPr>
          <w:rFonts w:ascii="Arial" w:hAnsi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053852">
        <w:rPr>
          <w:rFonts w:ascii="Arial" w:hAnsi="Arial"/>
          <w:color w:val="808080" w:themeColor="background1" w:themeShade="80"/>
          <w:sz w:val="20"/>
          <w:szCs w:val="20"/>
        </w:rPr>
        <w:t>a/d</w:t>
      </w:r>
      <w:proofErr w:type="spellEnd"/>
      <w:r w:rsidRPr="00053852">
        <w:rPr>
          <w:rFonts w:ascii="Arial" w:hAnsi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053852">
        <w:rPr>
          <w:rFonts w:ascii="Arial" w:hAnsi="Arial"/>
          <w:color w:val="808080" w:themeColor="background1" w:themeShade="80"/>
          <w:sz w:val="20"/>
          <w:szCs w:val="20"/>
        </w:rPr>
        <w:t>IJssel</w:t>
      </w:r>
      <w:proofErr w:type="spellEnd"/>
      <w:r w:rsidRPr="00053852">
        <w:rPr>
          <w:rFonts w:ascii="Arial" w:hAnsi="Arial"/>
          <w:color w:val="808080" w:themeColor="background1" w:themeShade="80"/>
          <w:sz w:val="20"/>
          <w:szCs w:val="20"/>
        </w:rPr>
        <w:t>, the Netherlands (</w:t>
      </w:r>
      <w:hyperlink r:id="rId13" w:history="1">
        <w:r w:rsidRPr="00053852">
          <w:rPr>
            <w:rStyle w:val="Hyperlink"/>
            <w:rFonts w:ascii="Arial" w:hAnsi="Arial"/>
            <w:sz w:val="20"/>
            <w:szCs w:val="20"/>
          </w:rPr>
          <w:t>topconpositioning.eu</w:t>
        </w:r>
      </w:hyperlink>
      <w:r w:rsidRPr="00053852">
        <w:rPr>
          <w:rFonts w:ascii="Arial" w:hAnsi="Arial"/>
          <w:color w:val="808080" w:themeColor="background1" w:themeShade="80"/>
          <w:sz w:val="20"/>
          <w:szCs w:val="20"/>
        </w:rPr>
        <w:t>). Topcon Positioning Group designs, manufactures and distributes precise positioning products and solutions for the global surveying, construction, agriculture, civil engineering, BIM, mapping and GIS, asset manageme</w:t>
      </w:r>
      <w:r w:rsidR="00E3215D">
        <w:rPr>
          <w:rFonts w:ascii="Arial" w:hAnsi="Arial"/>
          <w:color w:val="808080" w:themeColor="background1" w:themeShade="80"/>
          <w:sz w:val="20"/>
          <w:szCs w:val="20"/>
        </w:rPr>
        <w:t xml:space="preserve">nt and mobile control markets. </w:t>
      </w:r>
      <w:r w:rsidRPr="00053852">
        <w:rPr>
          <w:rFonts w:ascii="Arial" w:hAnsi="Arial"/>
          <w:color w:val="808080" w:themeColor="background1" w:themeShade="80"/>
          <w:sz w:val="20"/>
          <w:szCs w:val="20"/>
        </w:rPr>
        <w:t xml:space="preserve">Its brands include Topcon, Sokkia, Tierra, </w:t>
      </w:r>
      <w:proofErr w:type="spellStart"/>
      <w:r w:rsidRPr="00053852">
        <w:rPr>
          <w:rFonts w:ascii="Arial" w:hAnsi="Arial"/>
          <w:color w:val="808080" w:themeColor="background1" w:themeShade="80"/>
          <w:sz w:val="20"/>
          <w:szCs w:val="20"/>
        </w:rPr>
        <w:t>Wachendorff</w:t>
      </w:r>
      <w:proofErr w:type="spellEnd"/>
      <w:r w:rsidRPr="00053852">
        <w:rPr>
          <w:rFonts w:ascii="Arial" w:hAnsi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053852">
        <w:rPr>
          <w:rFonts w:ascii="Arial" w:hAnsi="Arial"/>
          <w:color w:val="808080" w:themeColor="background1" w:themeShade="80"/>
          <w:sz w:val="20"/>
          <w:szCs w:val="20"/>
        </w:rPr>
        <w:t>Elektronik</w:t>
      </w:r>
      <w:proofErr w:type="spellEnd"/>
      <w:r w:rsidRPr="00053852">
        <w:rPr>
          <w:rFonts w:ascii="Arial" w:hAnsi="Arial"/>
          <w:color w:val="808080" w:themeColor="background1" w:themeShade="80"/>
          <w:sz w:val="20"/>
          <w:szCs w:val="20"/>
        </w:rPr>
        <w:t>, Digi-S</w:t>
      </w:r>
      <w:r w:rsidR="00E3215D">
        <w:rPr>
          <w:rFonts w:ascii="Arial" w:hAnsi="Arial"/>
          <w:color w:val="808080" w:themeColor="background1" w:themeShade="80"/>
          <w:sz w:val="20"/>
          <w:szCs w:val="20"/>
        </w:rPr>
        <w:t xml:space="preserve">tar, RDS Technology, and NORAC. </w:t>
      </w:r>
      <w:r w:rsidRPr="00053852">
        <w:rPr>
          <w:rFonts w:ascii="Arial" w:hAnsi="Arial"/>
          <w:color w:val="808080" w:themeColor="background1" w:themeShade="80"/>
          <w:sz w:val="20"/>
          <w:szCs w:val="20"/>
        </w:rPr>
        <w:t>Topcon Corporation (</w:t>
      </w:r>
      <w:hyperlink r:id="rId14" w:history="1">
        <w:r w:rsidRPr="00053852">
          <w:rPr>
            <w:rStyle w:val="Hyperlink"/>
            <w:rFonts w:ascii="Arial" w:hAnsi="Arial"/>
            <w:sz w:val="20"/>
            <w:szCs w:val="20"/>
          </w:rPr>
          <w:t>topcon.com</w:t>
        </w:r>
      </w:hyperlink>
      <w:r w:rsidRPr="00053852">
        <w:rPr>
          <w:rFonts w:ascii="Arial" w:hAnsi="Arial"/>
          <w:color w:val="808080" w:themeColor="background1" w:themeShade="80"/>
          <w:sz w:val="20"/>
          <w:szCs w:val="20"/>
        </w:rPr>
        <w:t>), founded in 1932, is traded on the Tokyo Stock Exchange (7732). </w:t>
      </w:r>
    </w:p>
    <w:p w14:paraId="1272EE1D" w14:textId="77777777" w:rsidR="00F905F3" w:rsidRPr="008C66DC" w:rsidRDefault="00F905F3" w:rsidP="00DC59E3">
      <w:pPr>
        <w:tabs>
          <w:tab w:val="left" w:pos="270"/>
        </w:tabs>
        <w:rPr>
          <w:rFonts w:ascii="Arial" w:hAnsi="Arial"/>
          <w:color w:val="808080" w:themeColor="background1" w:themeShade="80"/>
          <w:sz w:val="15"/>
          <w:szCs w:val="20"/>
          <w:u w:val="single"/>
        </w:rPr>
      </w:pPr>
    </w:p>
    <w:p w14:paraId="3063E94E" w14:textId="6993C86D" w:rsidR="00C725ED" w:rsidRDefault="00F905F3" w:rsidP="00F905F3">
      <w:pPr>
        <w:tabs>
          <w:tab w:val="left" w:pos="270"/>
        </w:tabs>
        <w:jc w:val="center"/>
        <w:rPr>
          <w:rFonts w:ascii="Arial" w:hAnsi="Arial" w:cs="Arial"/>
          <w:sz w:val="20"/>
          <w:szCs w:val="20"/>
        </w:rPr>
      </w:pPr>
      <w:r w:rsidRPr="00053852">
        <w:rPr>
          <w:rFonts w:ascii="Arial" w:hAnsi="Arial" w:cs="Arial"/>
          <w:sz w:val="20"/>
          <w:szCs w:val="20"/>
        </w:rPr>
        <w:t># # #</w:t>
      </w:r>
    </w:p>
    <w:p w14:paraId="73B55857" w14:textId="77777777" w:rsidR="00053852" w:rsidRPr="00053852" w:rsidRDefault="00053852" w:rsidP="00F905F3">
      <w:pPr>
        <w:tabs>
          <w:tab w:val="left" w:pos="270"/>
        </w:tabs>
        <w:jc w:val="center"/>
        <w:rPr>
          <w:rFonts w:ascii="Arial" w:hAnsi="Arial" w:cs="Arial"/>
          <w:sz w:val="13"/>
          <w:szCs w:val="20"/>
        </w:rPr>
      </w:pPr>
    </w:p>
    <w:p w14:paraId="73C59904" w14:textId="692E7715" w:rsidR="00EB1000" w:rsidRPr="00053852" w:rsidRDefault="006829E3" w:rsidP="00E07F73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20"/>
          <w:szCs w:val="20"/>
        </w:rPr>
      </w:pPr>
      <w:r w:rsidRPr="00053852">
        <w:rPr>
          <w:rFonts w:ascii="Arial" w:hAnsi="Arial"/>
          <w:b/>
          <w:color w:val="808080" w:themeColor="background1" w:themeShade="80"/>
          <w:sz w:val="20"/>
          <w:szCs w:val="20"/>
        </w:rPr>
        <w:t>Press Information</w:t>
      </w:r>
    </w:p>
    <w:p w14:paraId="357868E8" w14:textId="77777777" w:rsidR="00DC59E3" w:rsidRPr="00053852" w:rsidRDefault="00DC59E3" w:rsidP="00DC59E3">
      <w:pPr>
        <w:rPr>
          <w:rFonts w:ascii="Arial" w:hAnsi="Arial"/>
          <w:color w:val="808080" w:themeColor="background1" w:themeShade="80"/>
          <w:sz w:val="20"/>
          <w:szCs w:val="20"/>
        </w:rPr>
      </w:pPr>
      <w:r w:rsidRPr="00053852">
        <w:rPr>
          <w:rFonts w:ascii="Arial" w:hAnsi="Arial"/>
          <w:color w:val="808080" w:themeColor="background1" w:themeShade="80"/>
          <w:sz w:val="20"/>
          <w:szCs w:val="20"/>
        </w:rPr>
        <w:t>Topcon Positioning Group</w:t>
      </w:r>
    </w:p>
    <w:p w14:paraId="675D5E07" w14:textId="77777777" w:rsidR="00DC59E3" w:rsidRPr="00053852" w:rsidRDefault="00A45F34" w:rsidP="00DC59E3">
      <w:pPr>
        <w:rPr>
          <w:rFonts w:ascii="Arial" w:hAnsi="Arial"/>
          <w:color w:val="808080" w:themeColor="background1" w:themeShade="80"/>
          <w:sz w:val="20"/>
          <w:szCs w:val="20"/>
          <w:lang w:val="it-IT"/>
        </w:rPr>
      </w:pPr>
      <w:hyperlink r:id="rId15" w:history="1">
        <w:r w:rsidR="00DC59E3" w:rsidRPr="00053852">
          <w:rPr>
            <w:rStyle w:val="Hyperlink"/>
            <w:rFonts w:ascii="Arial" w:hAnsi="Arial"/>
            <w:sz w:val="20"/>
            <w:szCs w:val="20"/>
            <w:lang w:val="it-IT"/>
          </w:rPr>
          <w:t>CorpComm@topcon.com</w:t>
        </w:r>
      </w:hyperlink>
    </w:p>
    <w:p w14:paraId="48213CA0" w14:textId="19723FBC" w:rsidR="00E76568" w:rsidRPr="00E3215D" w:rsidRDefault="00053852" w:rsidP="009A0004">
      <w:pPr>
        <w:rPr>
          <w:rFonts w:ascii="Arial" w:hAnsi="Arial"/>
          <w:color w:val="808080" w:themeColor="background1" w:themeShade="80"/>
          <w:sz w:val="20"/>
          <w:szCs w:val="20"/>
        </w:rPr>
      </w:pPr>
      <w:r w:rsidRPr="00053852">
        <w:rPr>
          <w:rFonts w:ascii="Arial" w:hAnsi="Arial"/>
          <w:color w:val="808080" w:themeColor="background1" w:themeShade="80"/>
          <w:sz w:val="20"/>
          <w:szCs w:val="20"/>
        </w:rPr>
        <w:t>USA: Staci Fitzgerald, +1 925-245-8610</w:t>
      </w:r>
    </w:p>
    <w:sectPr w:rsidR="00E76568" w:rsidRPr="00E3215D" w:rsidSect="0009234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D3425" w14:textId="77777777" w:rsidR="00A45F34" w:rsidRDefault="00A45F34">
      <w:r>
        <w:separator/>
      </w:r>
    </w:p>
  </w:endnote>
  <w:endnote w:type="continuationSeparator" w:id="0">
    <w:p w14:paraId="14606117" w14:textId="77777777" w:rsidR="00A45F34" w:rsidRDefault="00A4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0F3" w14:textId="77777777" w:rsidR="006829E3" w:rsidRDefault="006829E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7991D" w14:textId="77777777" w:rsidR="006829E3" w:rsidRDefault="006829E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406CF" w14:textId="175CD283" w:rsidR="006829E3" w:rsidRPr="00283069" w:rsidRDefault="006829E3" w:rsidP="00283069">
    <w:pPr>
      <w:pStyle w:val="Footer"/>
      <w:jc w:val="right"/>
    </w:pPr>
    <w:r>
      <w:rPr>
        <w:noProof/>
      </w:rPr>
      <w:drawing>
        <wp:inline distT="0" distB="0" distL="0" distR="0" wp14:anchorId="39636B9F" wp14:editId="7EF84176">
          <wp:extent cx="406400" cy="406400"/>
          <wp:effectExtent l="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.ImageServer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4F60D50" wp14:editId="7CA99C90">
          <wp:extent cx="406400" cy="406400"/>
          <wp:effectExtent l="0" t="0" r="0" b="0"/>
          <wp:docPr id="6" name="Picture 6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1.ImageServer.jpe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3777A72" wp14:editId="16087964">
          <wp:extent cx="406400" cy="406400"/>
          <wp:effectExtent l="0" t="0" r="0" b="0"/>
          <wp:docPr id="5" name="Picture 5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2.ImageServer.jpe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D63FE2" wp14:editId="655B6291">
          <wp:extent cx="406400" cy="406400"/>
          <wp:effectExtent l="0" t="0" r="0" b="0"/>
          <wp:docPr id="7" name="Picture 7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3.ImageServer.jpeg"/>
                  <pic:cNvPicPr/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1F048F8" wp14:editId="44ED16AA">
          <wp:extent cx="406400" cy="406400"/>
          <wp:effectExtent l="0" t="0" r="0" b="0"/>
          <wp:docPr id="8" name="Picture 8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4.ImageServer.jpeg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8916B" w14:textId="77777777" w:rsidR="00A45F34" w:rsidRDefault="00A45F34">
      <w:r>
        <w:separator/>
      </w:r>
    </w:p>
  </w:footnote>
  <w:footnote w:type="continuationSeparator" w:id="0">
    <w:p w14:paraId="1F5C3748" w14:textId="77777777" w:rsidR="00A45F34" w:rsidRDefault="00A45F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3320B" w14:textId="77777777" w:rsidR="006829E3" w:rsidRDefault="006829E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438C9" w14:textId="77777777" w:rsidR="006829E3" w:rsidRDefault="006829E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4034B" w14:textId="77777777" w:rsidR="006829E3" w:rsidRPr="00EB1000" w:rsidRDefault="006829E3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8B77529" wp14:editId="03BCF104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4F5354" w14:textId="77777777" w:rsidR="006829E3" w:rsidRPr="00EB1000" w:rsidRDefault="006829E3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D3C7363" w14:textId="77777777" w:rsidR="006829E3" w:rsidRPr="001A276A" w:rsidRDefault="006829E3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418C2"/>
    <w:rsid w:val="00053852"/>
    <w:rsid w:val="00073328"/>
    <w:rsid w:val="000872FF"/>
    <w:rsid w:val="0009234C"/>
    <w:rsid w:val="000A6DD5"/>
    <w:rsid w:val="000B5413"/>
    <w:rsid w:val="000C3C4C"/>
    <w:rsid w:val="000C6429"/>
    <w:rsid w:val="000D117E"/>
    <w:rsid w:val="00105D3C"/>
    <w:rsid w:val="00123665"/>
    <w:rsid w:val="0015719D"/>
    <w:rsid w:val="00163F32"/>
    <w:rsid w:val="00177523"/>
    <w:rsid w:val="001855FB"/>
    <w:rsid w:val="001929E7"/>
    <w:rsid w:val="001931EF"/>
    <w:rsid w:val="001A276A"/>
    <w:rsid w:val="001A5950"/>
    <w:rsid w:val="001B6BA0"/>
    <w:rsid w:val="001D47AE"/>
    <w:rsid w:val="001E495F"/>
    <w:rsid w:val="001F02F7"/>
    <w:rsid w:val="00211CAC"/>
    <w:rsid w:val="0021353A"/>
    <w:rsid w:val="00220127"/>
    <w:rsid w:val="00234742"/>
    <w:rsid w:val="002377E8"/>
    <w:rsid w:val="00265C21"/>
    <w:rsid w:val="00267859"/>
    <w:rsid w:val="002751AA"/>
    <w:rsid w:val="00280B3F"/>
    <w:rsid w:val="00283069"/>
    <w:rsid w:val="00283421"/>
    <w:rsid w:val="002B2158"/>
    <w:rsid w:val="002B65A9"/>
    <w:rsid w:val="002B7EB0"/>
    <w:rsid w:val="002C1A8C"/>
    <w:rsid w:val="002E2BC8"/>
    <w:rsid w:val="002E5E21"/>
    <w:rsid w:val="00313F6E"/>
    <w:rsid w:val="00317F71"/>
    <w:rsid w:val="0032173B"/>
    <w:rsid w:val="003217F4"/>
    <w:rsid w:val="00340920"/>
    <w:rsid w:val="00353911"/>
    <w:rsid w:val="00355294"/>
    <w:rsid w:val="0036188C"/>
    <w:rsid w:val="003801D4"/>
    <w:rsid w:val="0039761D"/>
    <w:rsid w:val="003A6C06"/>
    <w:rsid w:val="003A7243"/>
    <w:rsid w:val="003B1941"/>
    <w:rsid w:val="003B49D6"/>
    <w:rsid w:val="003C6648"/>
    <w:rsid w:val="003F134C"/>
    <w:rsid w:val="003F5E34"/>
    <w:rsid w:val="00413E95"/>
    <w:rsid w:val="00416269"/>
    <w:rsid w:val="0043387D"/>
    <w:rsid w:val="00433A38"/>
    <w:rsid w:val="00443D3B"/>
    <w:rsid w:val="00452580"/>
    <w:rsid w:val="00471166"/>
    <w:rsid w:val="004755C7"/>
    <w:rsid w:val="004C2A52"/>
    <w:rsid w:val="004E336B"/>
    <w:rsid w:val="00510D83"/>
    <w:rsid w:val="00513E5B"/>
    <w:rsid w:val="0053789D"/>
    <w:rsid w:val="005378E1"/>
    <w:rsid w:val="00545241"/>
    <w:rsid w:val="005502C7"/>
    <w:rsid w:val="0058710D"/>
    <w:rsid w:val="00587A94"/>
    <w:rsid w:val="00594377"/>
    <w:rsid w:val="005A23A0"/>
    <w:rsid w:val="005A4B01"/>
    <w:rsid w:val="005C44F8"/>
    <w:rsid w:val="005C48E8"/>
    <w:rsid w:val="005F0C86"/>
    <w:rsid w:val="005F3D0B"/>
    <w:rsid w:val="005F6112"/>
    <w:rsid w:val="006103A4"/>
    <w:rsid w:val="0061068D"/>
    <w:rsid w:val="006112E8"/>
    <w:rsid w:val="0061580F"/>
    <w:rsid w:val="00617F10"/>
    <w:rsid w:val="00622524"/>
    <w:rsid w:val="006274D0"/>
    <w:rsid w:val="00637E81"/>
    <w:rsid w:val="0064309C"/>
    <w:rsid w:val="00644D92"/>
    <w:rsid w:val="006456AE"/>
    <w:rsid w:val="00653C74"/>
    <w:rsid w:val="006829E3"/>
    <w:rsid w:val="0069002A"/>
    <w:rsid w:val="006926B3"/>
    <w:rsid w:val="006B2A9A"/>
    <w:rsid w:val="006E05C2"/>
    <w:rsid w:val="00701554"/>
    <w:rsid w:val="0071541C"/>
    <w:rsid w:val="007530F6"/>
    <w:rsid w:val="00756005"/>
    <w:rsid w:val="007605FA"/>
    <w:rsid w:val="00765F8C"/>
    <w:rsid w:val="007679DE"/>
    <w:rsid w:val="00773A4C"/>
    <w:rsid w:val="0078639E"/>
    <w:rsid w:val="007B3233"/>
    <w:rsid w:val="007C481B"/>
    <w:rsid w:val="007D26FD"/>
    <w:rsid w:val="007D51D2"/>
    <w:rsid w:val="00810DE0"/>
    <w:rsid w:val="00813405"/>
    <w:rsid w:val="008141F4"/>
    <w:rsid w:val="008205DE"/>
    <w:rsid w:val="00832E9A"/>
    <w:rsid w:val="00846CEF"/>
    <w:rsid w:val="00853C9A"/>
    <w:rsid w:val="00870D37"/>
    <w:rsid w:val="00877544"/>
    <w:rsid w:val="008802C4"/>
    <w:rsid w:val="00891FF7"/>
    <w:rsid w:val="00892065"/>
    <w:rsid w:val="0089494D"/>
    <w:rsid w:val="008962D4"/>
    <w:rsid w:val="008B0877"/>
    <w:rsid w:val="008C66DC"/>
    <w:rsid w:val="008D0202"/>
    <w:rsid w:val="008E6FD9"/>
    <w:rsid w:val="008F54A3"/>
    <w:rsid w:val="009434F4"/>
    <w:rsid w:val="009558FC"/>
    <w:rsid w:val="00956EF7"/>
    <w:rsid w:val="009666D5"/>
    <w:rsid w:val="00975493"/>
    <w:rsid w:val="009964DE"/>
    <w:rsid w:val="009A0004"/>
    <w:rsid w:val="009F071C"/>
    <w:rsid w:val="009F4FB0"/>
    <w:rsid w:val="00A06D66"/>
    <w:rsid w:val="00A30213"/>
    <w:rsid w:val="00A324A3"/>
    <w:rsid w:val="00A41F3F"/>
    <w:rsid w:val="00A45F34"/>
    <w:rsid w:val="00A47E24"/>
    <w:rsid w:val="00A57BD4"/>
    <w:rsid w:val="00A60195"/>
    <w:rsid w:val="00A74E93"/>
    <w:rsid w:val="00A86ADE"/>
    <w:rsid w:val="00A9365C"/>
    <w:rsid w:val="00A976A5"/>
    <w:rsid w:val="00AA2A43"/>
    <w:rsid w:val="00AC09BA"/>
    <w:rsid w:val="00AE0D23"/>
    <w:rsid w:val="00AE6481"/>
    <w:rsid w:val="00B267B0"/>
    <w:rsid w:val="00B35AF9"/>
    <w:rsid w:val="00B402B7"/>
    <w:rsid w:val="00B4058E"/>
    <w:rsid w:val="00B60ACB"/>
    <w:rsid w:val="00B63468"/>
    <w:rsid w:val="00B63E75"/>
    <w:rsid w:val="00B92736"/>
    <w:rsid w:val="00B92C56"/>
    <w:rsid w:val="00B92CFE"/>
    <w:rsid w:val="00BB19B5"/>
    <w:rsid w:val="00BB25D3"/>
    <w:rsid w:val="00BB4455"/>
    <w:rsid w:val="00BC0C4B"/>
    <w:rsid w:val="00BC6358"/>
    <w:rsid w:val="00BD71D0"/>
    <w:rsid w:val="00BE12FA"/>
    <w:rsid w:val="00BE5DE2"/>
    <w:rsid w:val="00BF37F1"/>
    <w:rsid w:val="00C01690"/>
    <w:rsid w:val="00C03ADA"/>
    <w:rsid w:val="00C31391"/>
    <w:rsid w:val="00C638D1"/>
    <w:rsid w:val="00C725ED"/>
    <w:rsid w:val="00C7597C"/>
    <w:rsid w:val="00C81D46"/>
    <w:rsid w:val="00C92C21"/>
    <w:rsid w:val="00C96821"/>
    <w:rsid w:val="00CD3455"/>
    <w:rsid w:val="00CD466B"/>
    <w:rsid w:val="00CE188F"/>
    <w:rsid w:val="00CE7749"/>
    <w:rsid w:val="00CE7843"/>
    <w:rsid w:val="00CF403B"/>
    <w:rsid w:val="00CF7FC5"/>
    <w:rsid w:val="00D24B4F"/>
    <w:rsid w:val="00D47414"/>
    <w:rsid w:val="00D55832"/>
    <w:rsid w:val="00D6369D"/>
    <w:rsid w:val="00D647FC"/>
    <w:rsid w:val="00D672DA"/>
    <w:rsid w:val="00D6784A"/>
    <w:rsid w:val="00D70AF0"/>
    <w:rsid w:val="00D70EE2"/>
    <w:rsid w:val="00D91CF0"/>
    <w:rsid w:val="00D979CB"/>
    <w:rsid w:val="00DC59E3"/>
    <w:rsid w:val="00DC60A0"/>
    <w:rsid w:val="00E07F73"/>
    <w:rsid w:val="00E16158"/>
    <w:rsid w:val="00E3215D"/>
    <w:rsid w:val="00E32B47"/>
    <w:rsid w:val="00E47E09"/>
    <w:rsid w:val="00E76568"/>
    <w:rsid w:val="00EB1000"/>
    <w:rsid w:val="00ED70D3"/>
    <w:rsid w:val="00EE33D2"/>
    <w:rsid w:val="00F0754B"/>
    <w:rsid w:val="00F463E2"/>
    <w:rsid w:val="00F472E2"/>
    <w:rsid w:val="00F55F20"/>
    <w:rsid w:val="00F601BE"/>
    <w:rsid w:val="00F757D3"/>
    <w:rsid w:val="00F81B4F"/>
    <w:rsid w:val="00F84020"/>
    <w:rsid w:val="00F86AB9"/>
    <w:rsid w:val="00F86B3B"/>
    <w:rsid w:val="00F905F3"/>
    <w:rsid w:val="00F94B4A"/>
    <w:rsid w:val="00F94B69"/>
    <w:rsid w:val="00F94E58"/>
    <w:rsid w:val="00FA3772"/>
    <w:rsid w:val="00FB0DA8"/>
    <w:rsid w:val="00FB146B"/>
    <w:rsid w:val="00FB4CB7"/>
    <w:rsid w:val="00FB613D"/>
    <w:rsid w:val="00FC36F6"/>
    <w:rsid w:val="00FD032D"/>
    <w:rsid w:val="00FD070E"/>
    <w:rsid w:val="00FD6101"/>
    <w:rsid w:val="00FF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64EDDB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765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5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5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5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5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www.topconpositioning.com/total-stations/standard-total-stations/es-series" TargetMode="External"/><Relationship Id="rId11" Type="http://schemas.openxmlformats.org/officeDocument/2006/relationships/hyperlink" Target="https://www.topconpositioning.com/" TargetMode="External"/><Relationship Id="rId12" Type="http://schemas.openxmlformats.org/officeDocument/2006/relationships/hyperlink" Target="https://www.topconpositioning.com" TargetMode="External"/><Relationship Id="rId13" Type="http://schemas.openxmlformats.org/officeDocument/2006/relationships/hyperlink" Target="http://www.topconpositioning.eu" TargetMode="External"/><Relationship Id="rId14" Type="http://schemas.openxmlformats.org/officeDocument/2006/relationships/hyperlink" Target="http://global.topcon.com/" TargetMode="External"/><Relationship Id="rId15" Type="http://schemas.openxmlformats.org/officeDocument/2006/relationships/hyperlink" Target="mailto:CorpComm@topcon.com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topcon-positioning-systems" TargetMode="External"/><Relationship Id="rId4" Type="http://schemas.openxmlformats.org/officeDocument/2006/relationships/image" Target="media/image5.jpeg"/><Relationship Id="rId5" Type="http://schemas.openxmlformats.org/officeDocument/2006/relationships/hyperlink" Target="https://twitter.com/topcon_today" TargetMode="External"/><Relationship Id="rId6" Type="http://schemas.openxmlformats.org/officeDocument/2006/relationships/image" Target="media/image6.jpeg"/><Relationship Id="rId7" Type="http://schemas.openxmlformats.org/officeDocument/2006/relationships/hyperlink" Target="https://www.youtube.com/user/TopconToday" TargetMode="External"/><Relationship Id="rId8" Type="http://schemas.openxmlformats.org/officeDocument/2006/relationships/image" Target="media/image7.jpeg"/><Relationship Id="rId9" Type="http://schemas.openxmlformats.org/officeDocument/2006/relationships/hyperlink" Target="https://www.instagram.com/topcontoday/" TargetMode="External"/><Relationship Id="rId10" Type="http://schemas.openxmlformats.org/officeDocument/2006/relationships/image" Target="media/image8.jpeg"/><Relationship Id="rId1" Type="http://schemas.openxmlformats.org/officeDocument/2006/relationships/hyperlink" Target="https://www.facebook.com/TopconToday" TargetMode="External"/><Relationship Id="rId2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F21597-E403-5540-883B-79C1E1C1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354</Words>
  <Characters>2024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2374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lastModifiedBy>Lauren Leech</cp:lastModifiedBy>
  <cp:revision>7</cp:revision>
  <cp:lastPrinted>2015-08-13T12:52:00Z</cp:lastPrinted>
  <dcterms:created xsi:type="dcterms:W3CDTF">2017-01-23T15:04:00Z</dcterms:created>
  <dcterms:modified xsi:type="dcterms:W3CDTF">2017-01-24T16:38:00Z</dcterms:modified>
</cp:coreProperties>
</file>