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E7519" w14:textId="77777777" w:rsidR="00731569" w:rsidRDefault="00731569" w:rsidP="00731569">
      <w:pPr>
        <w:tabs>
          <w:tab w:val="left" w:pos="270"/>
        </w:tabs>
        <w:jc w:val="center"/>
        <w:rPr>
          <w:b/>
          <w:sz w:val="40"/>
          <w:szCs w:val="40"/>
        </w:rPr>
      </w:pPr>
      <w:r>
        <w:rPr>
          <w:b/>
          <w:noProof/>
          <w:sz w:val="40"/>
          <w:szCs w:val="40"/>
        </w:rPr>
        <w:drawing>
          <wp:inline distT="0" distB="0" distL="0" distR="0" wp14:anchorId="322F7BF5" wp14:editId="62B32671">
            <wp:extent cx="1012402" cy="1366743"/>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T-3500_Topcon thumb.jpg"/>
                    <pic:cNvPicPr/>
                  </pic:nvPicPr>
                  <pic:blipFill>
                    <a:blip r:embed="rId8">
                      <a:extLst>
                        <a:ext uri="{28A0092B-C50C-407E-A947-70E740481C1C}">
                          <a14:useLocalDpi xmlns:a14="http://schemas.microsoft.com/office/drawing/2010/main" val="0"/>
                        </a:ext>
                      </a:extLst>
                    </a:blip>
                    <a:stretch>
                      <a:fillRect/>
                    </a:stretch>
                  </pic:blipFill>
                  <pic:spPr>
                    <a:xfrm>
                      <a:off x="0" y="0"/>
                      <a:ext cx="1012402" cy="1366743"/>
                    </a:xfrm>
                    <a:prstGeom prst="rect">
                      <a:avLst/>
                    </a:prstGeom>
                  </pic:spPr>
                </pic:pic>
              </a:graphicData>
            </a:graphic>
          </wp:inline>
        </w:drawing>
      </w:r>
      <w:r>
        <w:rPr>
          <w:b/>
          <w:noProof/>
          <w:sz w:val="40"/>
          <w:szCs w:val="40"/>
        </w:rPr>
        <w:drawing>
          <wp:inline distT="0" distB="0" distL="0" distR="0" wp14:anchorId="0DD69EFC" wp14:editId="7D9DEC88">
            <wp:extent cx="1881189" cy="12541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T-3500_Field_Topcon thumb.jpg"/>
                    <pic:cNvPicPr/>
                  </pic:nvPicPr>
                  <pic:blipFill>
                    <a:blip r:embed="rId9">
                      <a:extLst>
                        <a:ext uri="{28A0092B-C50C-407E-A947-70E740481C1C}">
                          <a14:useLocalDpi xmlns:a14="http://schemas.microsoft.com/office/drawing/2010/main" val="0"/>
                        </a:ext>
                      </a:extLst>
                    </a:blip>
                    <a:stretch>
                      <a:fillRect/>
                    </a:stretch>
                  </pic:blipFill>
                  <pic:spPr>
                    <a:xfrm>
                      <a:off x="0" y="0"/>
                      <a:ext cx="1883291" cy="1255526"/>
                    </a:xfrm>
                    <a:prstGeom prst="rect">
                      <a:avLst/>
                    </a:prstGeom>
                  </pic:spPr>
                </pic:pic>
              </a:graphicData>
            </a:graphic>
          </wp:inline>
        </w:drawing>
      </w:r>
    </w:p>
    <w:p w14:paraId="0B4F222B" w14:textId="77777777" w:rsidR="00731569" w:rsidRDefault="00DF7C2A" w:rsidP="00731569">
      <w:pPr>
        <w:tabs>
          <w:tab w:val="left" w:pos="270"/>
        </w:tabs>
        <w:jc w:val="center"/>
        <w:rPr>
          <w:b/>
          <w:sz w:val="40"/>
          <w:szCs w:val="40"/>
        </w:rPr>
      </w:pPr>
      <w:r>
        <w:rPr>
          <w:b/>
          <w:sz w:val="40"/>
          <w:szCs w:val="40"/>
        </w:rPr>
        <w:br/>
      </w:r>
      <w:r w:rsidR="00731569" w:rsidRPr="00731569">
        <w:rPr>
          <w:b/>
          <w:sz w:val="40"/>
          <w:szCs w:val="40"/>
        </w:rPr>
        <w:t xml:space="preserve">Topcon announces new total station </w:t>
      </w:r>
    </w:p>
    <w:p w14:paraId="75DE762D" w14:textId="77777777" w:rsidR="003A7F30" w:rsidRDefault="00731569" w:rsidP="00731569">
      <w:pPr>
        <w:tabs>
          <w:tab w:val="left" w:pos="270"/>
        </w:tabs>
        <w:jc w:val="center"/>
        <w:rPr>
          <w:b/>
          <w:sz w:val="40"/>
          <w:szCs w:val="40"/>
        </w:rPr>
      </w:pPr>
      <w:r w:rsidRPr="00731569">
        <w:rPr>
          <w:b/>
          <w:sz w:val="40"/>
          <w:szCs w:val="40"/>
        </w:rPr>
        <w:t>with enhanced reflectorless range</w:t>
      </w:r>
    </w:p>
    <w:p w14:paraId="7268A324" w14:textId="77777777" w:rsidR="003A7F30" w:rsidRPr="003A7F30" w:rsidRDefault="003A7F30" w:rsidP="003A7F30">
      <w:pPr>
        <w:tabs>
          <w:tab w:val="left" w:pos="270"/>
        </w:tabs>
        <w:rPr>
          <w:b/>
          <w:sz w:val="22"/>
          <w:szCs w:val="22"/>
        </w:rPr>
      </w:pPr>
    </w:p>
    <w:p w14:paraId="33479397" w14:textId="77777777" w:rsidR="00731569" w:rsidRPr="00731569" w:rsidRDefault="00F72676" w:rsidP="00731569">
      <w:pPr>
        <w:tabs>
          <w:tab w:val="left" w:pos="270"/>
          <w:tab w:val="left" w:pos="8100"/>
        </w:tabs>
        <w:rPr>
          <w:szCs w:val="20"/>
        </w:rPr>
      </w:pPr>
      <w:r w:rsidRPr="00F72676">
        <w:rPr>
          <w:i/>
          <w:szCs w:val="20"/>
        </w:rPr>
        <w:t>LIVERMORE, Calif., USA/ CAPELLE A/D IJSSEL, The Netherlands</w:t>
      </w:r>
      <w:r>
        <w:rPr>
          <w:i/>
          <w:szCs w:val="20"/>
        </w:rPr>
        <w:t xml:space="preserve"> </w:t>
      </w:r>
      <w:r w:rsidR="00731569" w:rsidRPr="00731569">
        <w:rPr>
          <w:i/>
          <w:szCs w:val="20"/>
        </w:rPr>
        <w:t>– April 20, 2015</w:t>
      </w:r>
      <w:r w:rsidR="00B64462">
        <w:rPr>
          <w:i/>
          <w:szCs w:val="20"/>
        </w:rPr>
        <w:t xml:space="preserve"> </w:t>
      </w:r>
      <w:bookmarkStart w:id="0" w:name="_GoBack"/>
      <w:bookmarkEnd w:id="0"/>
      <w:r w:rsidR="00731569" w:rsidRPr="00731569">
        <w:rPr>
          <w:szCs w:val="20"/>
        </w:rPr>
        <w:t>– Topcon Positioning Group announces the latest addition to its line of reflectorless total stations for the construction and mining market — the GPT-3500LNW.  With a measuring distance of 2000 m</w:t>
      </w:r>
      <w:r w:rsidR="00DD0A86">
        <w:rPr>
          <w:szCs w:val="20"/>
        </w:rPr>
        <w:t>eters</w:t>
      </w:r>
      <w:r w:rsidR="00731569" w:rsidRPr="00731569">
        <w:rPr>
          <w:szCs w:val="20"/>
        </w:rPr>
        <w:t xml:space="preserve"> (6,560 ft.), the GPT-3500 is designed to measure further than any non-prism instrument in its class.</w:t>
      </w:r>
    </w:p>
    <w:p w14:paraId="5BF5D6E7" w14:textId="77777777" w:rsidR="00731569" w:rsidRPr="00731569" w:rsidRDefault="00731569" w:rsidP="00731569">
      <w:pPr>
        <w:tabs>
          <w:tab w:val="left" w:pos="270"/>
          <w:tab w:val="left" w:pos="8100"/>
        </w:tabs>
        <w:rPr>
          <w:szCs w:val="20"/>
        </w:rPr>
      </w:pPr>
    </w:p>
    <w:p w14:paraId="01424DF7" w14:textId="77777777" w:rsidR="00731569" w:rsidRPr="00731569" w:rsidRDefault="00731569" w:rsidP="00731569">
      <w:pPr>
        <w:tabs>
          <w:tab w:val="left" w:pos="270"/>
          <w:tab w:val="left" w:pos="8100"/>
        </w:tabs>
        <w:rPr>
          <w:szCs w:val="20"/>
        </w:rPr>
      </w:pPr>
      <w:r w:rsidRPr="00731569">
        <w:rPr>
          <w:szCs w:val="20"/>
        </w:rPr>
        <w:t>“Incorporating the Topcon advanced time-of-flight pulse technology, the EDM is fast and powerful,” said Ray Kerwin, director of global surveying products.  “The Topcon algorithm filters signal noise to provide accurate measurements even on dark and wet surfaces, where other reflectorless technology might fail.”</w:t>
      </w:r>
    </w:p>
    <w:p w14:paraId="67B59B60" w14:textId="77777777" w:rsidR="00731569" w:rsidRPr="00731569" w:rsidRDefault="00731569" w:rsidP="00731569">
      <w:pPr>
        <w:tabs>
          <w:tab w:val="left" w:pos="270"/>
          <w:tab w:val="left" w:pos="8100"/>
        </w:tabs>
        <w:rPr>
          <w:szCs w:val="20"/>
        </w:rPr>
      </w:pPr>
    </w:p>
    <w:p w14:paraId="3D1696E1" w14:textId="77777777" w:rsidR="00731569" w:rsidRPr="00731569" w:rsidRDefault="00731569" w:rsidP="00731569">
      <w:pPr>
        <w:tabs>
          <w:tab w:val="left" w:pos="270"/>
          <w:tab w:val="left" w:pos="8100"/>
        </w:tabs>
        <w:rPr>
          <w:szCs w:val="20"/>
        </w:rPr>
      </w:pPr>
      <w:r w:rsidRPr="00731569">
        <w:rPr>
          <w:szCs w:val="20"/>
        </w:rPr>
        <w:t xml:space="preserve">Along with its onboard data collector, the GPT-3500 can connect to an external field controller via built-in Bluetooth® technology, enabling field to office connectivity with </w:t>
      </w:r>
      <w:r w:rsidR="00CC588F">
        <w:rPr>
          <w:szCs w:val="20"/>
        </w:rPr>
        <w:t xml:space="preserve">the </w:t>
      </w:r>
      <w:hyperlink r:id="rId10" w:history="1">
        <w:r w:rsidRPr="00731569">
          <w:rPr>
            <w:rStyle w:val="Hyperlink"/>
            <w:szCs w:val="20"/>
          </w:rPr>
          <w:t>MAGNET® suite of software solutions</w:t>
        </w:r>
      </w:hyperlink>
      <w:r w:rsidRPr="00731569">
        <w:rPr>
          <w:szCs w:val="20"/>
        </w:rPr>
        <w:t xml:space="preserve">. The system can also be paired with a prism to allow for a measurement </w:t>
      </w:r>
      <w:r w:rsidR="00B64462" w:rsidRPr="00B64462">
        <w:rPr>
          <w:szCs w:val="20"/>
        </w:rPr>
        <w:t>range of up to 3000 meters (9,842 ft.).</w:t>
      </w:r>
    </w:p>
    <w:p w14:paraId="26A71559" w14:textId="77777777" w:rsidR="00731569" w:rsidRPr="00731569" w:rsidRDefault="00731569" w:rsidP="00731569">
      <w:pPr>
        <w:tabs>
          <w:tab w:val="left" w:pos="270"/>
          <w:tab w:val="left" w:pos="8100"/>
        </w:tabs>
        <w:rPr>
          <w:szCs w:val="20"/>
        </w:rPr>
      </w:pPr>
    </w:p>
    <w:p w14:paraId="72EAC87A" w14:textId="77777777" w:rsidR="00731569" w:rsidRDefault="00731569" w:rsidP="00731569">
      <w:pPr>
        <w:tabs>
          <w:tab w:val="left" w:pos="270"/>
          <w:tab w:val="left" w:pos="8100"/>
        </w:tabs>
        <w:rPr>
          <w:szCs w:val="20"/>
        </w:rPr>
      </w:pPr>
      <w:r w:rsidRPr="00731569">
        <w:rPr>
          <w:szCs w:val="20"/>
        </w:rPr>
        <w:t xml:space="preserve">Additional features include a rugged IP66 rated design, on-board TopField application software, and battery life of up to five working hours. </w:t>
      </w:r>
    </w:p>
    <w:p w14:paraId="3419E5A9" w14:textId="77777777" w:rsidR="00FB318D" w:rsidRPr="00731569" w:rsidRDefault="00FB318D" w:rsidP="00731569">
      <w:pPr>
        <w:tabs>
          <w:tab w:val="left" w:pos="270"/>
          <w:tab w:val="left" w:pos="8100"/>
        </w:tabs>
        <w:rPr>
          <w:szCs w:val="20"/>
        </w:rPr>
      </w:pPr>
    </w:p>
    <w:p w14:paraId="608C4941" w14:textId="77777777" w:rsidR="00F13873" w:rsidRPr="003A7F30" w:rsidRDefault="00F13873" w:rsidP="00F13873">
      <w:pPr>
        <w:tabs>
          <w:tab w:val="left" w:pos="270"/>
          <w:tab w:val="left" w:pos="8100"/>
        </w:tabs>
        <w:rPr>
          <w:sz w:val="22"/>
          <w:szCs w:val="20"/>
        </w:rPr>
      </w:pPr>
    </w:p>
    <w:p w14:paraId="00E319AF" w14:textId="77777777" w:rsidR="003A7F30" w:rsidRPr="003A7F30" w:rsidRDefault="003A7F30" w:rsidP="003A7F30">
      <w:pPr>
        <w:pStyle w:val="NormalWeb"/>
        <w:spacing w:before="0" w:beforeAutospacing="0" w:after="0" w:afterAutospacing="0"/>
        <w:rPr>
          <w:rFonts w:ascii="Times New Roman" w:hAnsi="Times New Roman"/>
          <w:sz w:val="18"/>
        </w:rPr>
      </w:pPr>
      <w:r w:rsidRPr="003A7F30">
        <w:rPr>
          <w:rFonts w:ascii="Times New Roman" w:hAnsi="Times New Roman"/>
          <w:b/>
          <w:sz w:val="18"/>
        </w:rPr>
        <w:t>About Topcon Positioning Group</w:t>
      </w:r>
      <w:r w:rsidRPr="003A7F30">
        <w:rPr>
          <w:rFonts w:ascii="Times New Roman" w:hAnsi="Times New Roman"/>
          <w:b/>
          <w:sz w:val="18"/>
        </w:rPr>
        <w:br/>
      </w:r>
      <w:r w:rsidRPr="003A7F30">
        <w:rPr>
          <w:rFonts w:ascii="Times New Roman" w:hAnsi="Times New Roman"/>
          <w:sz w:val="18"/>
        </w:rPr>
        <w:t>Topcon Positioning Group is headquartered in Livermore, California, USA (</w:t>
      </w:r>
      <w:hyperlink r:id="rId11" w:history="1">
        <w:r w:rsidRPr="003A7F30">
          <w:rPr>
            <w:rFonts w:ascii="Times New Roman" w:hAnsi="Times New Roman"/>
            <w:color w:val="0000FF"/>
            <w:sz w:val="18"/>
          </w:rPr>
          <w:t>topconpositioning.com</w:t>
        </w:r>
      </w:hyperlink>
      <w:r w:rsidRPr="003A7F30">
        <w:rPr>
          <w:rFonts w:ascii="Times New Roman" w:hAnsi="Times New Roman"/>
          <w:sz w:val="18"/>
        </w:rPr>
        <w:t>). Its European head office is in Capelle a/d IJssel, the Netherlands (</w:t>
      </w:r>
      <w:hyperlink r:id="rId12" w:history="1">
        <w:r w:rsidRPr="003A7F30">
          <w:rPr>
            <w:rFonts w:ascii="Times New Roman" w:hAnsi="Times New Roman"/>
            <w:color w:val="0000FF"/>
            <w:sz w:val="18"/>
          </w:rPr>
          <w:t>topcon-positioning.eu</w:t>
        </w:r>
      </w:hyperlink>
      <w:r w:rsidRPr="003A7F30">
        <w:rPr>
          <w:rFonts w:ascii="Times New Roman" w:hAnsi="Times New Roman"/>
          <w:sz w:val="18"/>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Wachendorff Elektronik, Digi-Star and 2LS. Topcon Corporation (</w:t>
      </w:r>
      <w:hyperlink r:id="rId13" w:history="1">
        <w:r w:rsidRPr="003A7F30">
          <w:rPr>
            <w:rFonts w:ascii="Times New Roman" w:hAnsi="Times New Roman"/>
            <w:color w:val="0000FF"/>
            <w:sz w:val="18"/>
            <w:u w:val="single" w:color="0000FF"/>
          </w:rPr>
          <w:t>topcon.com</w:t>
        </w:r>
      </w:hyperlink>
      <w:r w:rsidRPr="003A7F30">
        <w:rPr>
          <w:rFonts w:ascii="Times New Roman" w:hAnsi="Times New Roman"/>
          <w:sz w:val="18"/>
        </w:rPr>
        <w:t>), founded in 1932, is traded on the Tokyo Stock Exchange (7732). </w:t>
      </w:r>
    </w:p>
    <w:p w14:paraId="235D0499" w14:textId="77777777" w:rsidR="003A7F30" w:rsidRPr="003A7F30" w:rsidRDefault="003A7F30" w:rsidP="003A7F30">
      <w:pPr>
        <w:pStyle w:val="NormalWeb"/>
        <w:spacing w:before="0" w:beforeAutospacing="0" w:after="0" w:afterAutospacing="0"/>
        <w:jc w:val="center"/>
        <w:rPr>
          <w:rFonts w:ascii="Times New Roman" w:hAnsi="Times New Roman"/>
          <w:sz w:val="18"/>
        </w:rPr>
      </w:pPr>
      <w:r w:rsidRPr="003A7F30">
        <w:rPr>
          <w:rFonts w:ascii="Times New Roman" w:hAnsi="Times New Roman"/>
          <w:sz w:val="18"/>
        </w:rPr>
        <w:t>#  #  #</w:t>
      </w:r>
    </w:p>
    <w:p w14:paraId="42863A00" w14:textId="77777777" w:rsidR="003A7F30" w:rsidRPr="003A7F30" w:rsidRDefault="003A7F30" w:rsidP="003A7F30">
      <w:pPr>
        <w:pStyle w:val="NormalWeb"/>
        <w:spacing w:before="0" w:beforeAutospacing="0" w:after="0" w:afterAutospacing="0"/>
        <w:jc w:val="both"/>
        <w:rPr>
          <w:rFonts w:ascii="Times New Roman" w:hAnsi="Times New Roman"/>
          <w:b/>
          <w:sz w:val="18"/>
        </w:rPr>
      </w:pPr>
    </w:p>
    <w:p w14:paraId="326BDDDE" w14:textId="77777777" w:rsidR="003A7F30" w:rsidRPr="003A7F30" w:rsidRDefault="003A7F30" w:rsidP="003A7F30">
      <w:pPr>
        <w:pStyle w:val="NormalWeb"/>
        <w:spacing w:before="0" w:beforeAutospacing="0" w:after="0" w:afterAutospacing="0"/>
        <w:jc w:val="both"/>
        <w:rPr>
          <w:rFonts w:ascii="Times New Roman" w:hAnsi="Times New Roman"/>
          <w:b/>
          <w:sz w:val="18"/>
        </w:rPr>
      </w:pPr>
      <w:r w:rsidRPr="003A7F30">
        <w:rPr>
          <w:rFonts w:ascii="Times New Roman" w:hAnsi="Times New Roman"/>
          <w:b/>
          <w:sz w:val="18"/>
        </w:rPr>
        <w:t>Press Information</w:t>
      </w:r>
    </w:p>
    <w:p w14:paraId="6F2B50EE" w14:textId="77777777" w:rsidR="003A7F30" w:rsidRPr="003A7F30" w:rsidRDefault="00B64462" w:rsidP="003A7F30">
      <w:pPr>
        <w:pStyle w:val="NormalWeb"/>
        <w:spacing w:before="0" w:beforeAutospacing="0" w:after="0" w:afterAutospacing="0"/>
        <w:jc w:val="both"/>
        <w:rPr>
          <w:rFonts w:ascii="Times New Roman" w:hAnsi="Times New Roman"/>
          <w:sz w:val="18"/>
        </w:rPr>
      </w:pPr>
      <w:hyperlink r:id="rId14" w:history="1">
        <w:r w:rsidR="00CA6FE6" w:rsidRPr="002F1713">
          <w:rPr>
            <w:rStyle w:val="Hyperlink"/>
            <w:rFonts w:ascii="Times New Roman" w:hAnsi="Times New Roman"/>
            <w:sz w:val="18"/>
          </w:rPr>
          <w:t>news@topcon.com</w:t>
        </w:r>
      </w:hyperlink>
    </w:p>
    <w:p w14:paraId="6BCCBF02" w14:textId="77777777" w:rsidR="003A7F30" w:rsidRPr="003A7F30" w:rsidRDefault="003A7F30" w:rsidP="003A7F30">
      <w:pPr>
        <w:pStyle w:val="NormalWeb"/>
        <w:spacing w:before="0" w:beforeAutospacing="0" w:after="0" w:afterAutospacing="0"/>
        <w:jc w:val="both"/>
        <w:rPr>
          <w:rFonts w:ascii="Times New Roman" w:hAnsi="Times New Roman"/>
          <w:sz w:val="18"/>
        </w:rPr>
      </w:pPr>
      <w:r w:rsidRPr="003A7F30">
        <w:rPr>
          <w:rFonts w:ascii="Times New Roman" w:hAnsi="Times New Roman"/>
          <w:sz w:val="18"/>
        </w:rPr>
        <w:t>USA: Staci Fitzgerald, 925-245-8610</w:t>
      </w:r>
    </w:p>
    <w:p w14:paraId="28C89601" w14:textId="77777777" w:rsidR="009A47B5" w:rsidRPr="003A7F30" w:rsidRDefault="003A7F30" w:rsidP="003A7F30">
      <w:pPr>
        <w:pStyle w:val="NormalWeb"/>
        <w:spacing w:before="0" w:beforeAutospacing="0" w:after="0" w:afterAutospacing="0"/>
        <w:jc w:val="both"/>
        <w:rPr>
          <w:rFonts w:ascii="Times New Roman" w:hAnsi="Times New Roman"/>
          <w:sz w:val="18"/>
        </w:rPr>
      </w:pPr>
      <w:r w:rsidRPr="003A7F30">
        <w:rPr>
          <w:rFonts w:ascii="Times New Roman" w:hAnsi="Times New Roman"/>
          <w:sz w:val="18"/>
        </w:rPr>
        <w:t>Europe: Stuart Proctor</w:t>
      </w:r>
    </w:p>
    <w:sectPr w:rsidR="009A47B5" w:rsidRPr="003A7F30" w:rsidSect="003338DC">
      <w:headerReference w:type="default" r:id="rId15"/>
      <w:headerReference w:type="first" r:id="rId16"/>
      <w:footerReference w:type="first" r:id="rId17"/>
      <w:pgSz w:w="12240" w:h="15840"/>
      <w:pgMar w:top="1800" w:right="1627" w:bottom="108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26565" w14:textId="77777777" w:rsidR="00482490" w:rsidRDefault="00482490">
      <w:r>
        <w:separator/>
      </w:r>
    </w:p>
  </w:endnote>
  <w:endnote w:type="continuationSeparator" w:id="0">
    <w:p w14:paraId="522B3EE3" w14:textId="77777777" w:rsidR="00482490" w:rsidRDefault="0048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C665E" w14:textId="77777777" w:rsidR="00BC0588" w:rsidRPr="003338DC" w:rsidRDefault="00BC0588" w:rsidP="007E10FF">
    <w:pPr>
      <w:pStyle w:val="Footer"/>
      <w:tabs>
        <w:tab w:val="center" w:pos="4410"/>
        <w:tab w:val="left" w:pos="5568"/>
      </w:tabs>
      <w:rPr>
        <w:sz w:val="20"/>
        <w:szCs w:val="20"/>
      </w:rPr>
    </w:pPr>
    <w:r>
      <w:rPr>
        <w:sz w:val="22"/>
        <w:szCs w:val="22"/>
      </w:rPr>
      <w:tab/>
    </w:r>
    <w:r w:rsidRPr="003338DC">
      <w:rPr>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80615" w14:textId="77777777" w:rsidR="00482490" w:rsidRDefault="00482490">
      <w:r>
        <w:separator/>
      </w:r>
    </w:p>
  </w:footnote>
  <w:footnote w:type="continuationSeparator" w:id="0">
    <w:p w14:paraId="3D98F690" w14:textId="77777777" w:rsidR="00482490" w:rsidRDefault="004824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AD3F1" w14:textId="77777777" w:rsidR="00BC0588" w:rsidRPr="003338DC" w:rsidRDefault="00BC0588">
    <w:pPr>
      <w:pStyle w:val="Header"/>
      <w:rPr>
        <w:sz w:val="20"/>
        <w:szCs w:val="20"/>
      </w:rPr>
    </w:pPr>
    <w:r w:rsidRPr="003338DC">
      <w:rPr>
        <w:sz w:val="20"/>
        <w:szCs w:val="20"/>
      </w:rPr>
      <w:t>Topcon news release</w:t>
    </w:r>
  </w:p>
  <w:p w14:paraId="0BA1825F" w14:textId="77777777" w:rsidR="00BC0588" w:rsidRPr="003338DC" w:rsidRDefault="00BC0588">
    <w:pPr>
      <w:pStyle w:val="Header"/>
      <w:rPr>
        <w:rStyle w:val="PageNumber"/>
        <w:sz w:val="20"/>
        <w:szCs w:val="20"/>
      </w:rPr>
    </w:pPr>
    <w:r w:rsidRPr="003338DC">
      <w:rPr>
        <w:sz w:val="20"/>
        <w:szCs w:val="20"/>
      </w:rPr>
      <w:t xml:space="preserve">Page </w:t>
    </w:r>
    <w:r w:rsidRPr="003338DC">
      <w:rPr>
        <w:rStyle w:val="PageNumber"/>
        <w:sz w:val="20"/>
        <w:szCs w:val="20"/>
      </w:rPr>
      <w:fldChar w:fldCharType="begin"/>
    </w:r>
    <w:r w:rsidRPr="003338DC">
      <w:rPr>
        <w:rStyle w:val="PageNumber"/>
        <w:sz w:val="20"/>
        <w:szCs w:val="20"/>
      </w:rPr>
      <w:instrText xml:space="preserve"> PAGE </w:instrText>
    </w:r>
    <w:r w:rsidRPr="003338DC">
      <w:rPr>
        <w:rStyle w:val="PageNumber"/>
        <w:sz w:val="20"/>
        <w:szCs w:val="20"/>
      </w:rPr>
      <w:fldChar w:fldCharType="separate"/>
    </w:r>
    <w:r w:rsidR="00731569">
      <w:rPr>
        <w:rStyle w:val="PageNumber"/>
        <w:noProof/>
        <w:sz w:val="20"/>
        <w:szCs w:val="20"/>
      </w:rPr>
      <w:t>2</w:t>
    </w:r>
    <w:r w:rsidRPr="003338DC">
      <w:rPr>
        <w:rStyle w:val="PageNumber"/>
        <w:sz w:val="20"/>
        <w:szCs w:val="20"/>
      </w:rPr>
      <w:fldChar w:fldCharType="end"/>
    </w:r>
  </w:p>
  <w:p w14:paraId="4E13245E" w14:textId="77777777" w:rsidR="00BC0588" w:rsidRDefault="00BC058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247B8" w14:textId="77777777" w:rsidR="00BC0588" w:rsidRDefault="00BC0588" w:rsidP="006103A4"/>
  <w:p w14:paraId="55863655" w14:textId="77777777" w:rsidR="00BC0588" w:rsidRPr="00323B20" w:rsidRDefault="00BE6A33" w:rsidP="006103A4">
    <w:pPr>
      <w:pStyle w:val="Header"/>
      <w:jc w:val="right"/>
      <w:rPr>
        <w:rFonts w:ascii="Arial Bold" w:hAnsi="Arial Bold"/>
        <w:color w:val="548DD4"/>
        <w:sz w:val="28"/>
        <w:szCs w:val="28"/>
      </w:rPr>
    </w:pPr>
    <w:r>
      <w:rPr>
        <w:noProof/>
      </w:rPr>
      <w:drawing>
        <wp:anchor distT="0" distB="0" distL="114300" distR="114300" simplePos="0" relativeHeight="251659264" behindDoc="0" locked="0" layoutInCell="1" allowOverlap="1" wp14:anchorId="4DA2258E" wp14:editId="60879725">
          <wp:simplePos x="0" y="0"/>
          <wp:positionH relativeFrom="column">
            <wp:posOffset>-520065</wp:posOffset>
          </wp:positionH>
          <wp:positionV relativeFrom="paragraph">
            <wp:posOffset>55880</wp:posOffset>
          </wp:positionV>
          <wp:extent cx="1485900" cy="240030"/>
          <wp:effectExtent l="0" t="0" r="12700" b="0"/>
          <wp:wrapSquare wrapText="bothSides"/>
          <wp:docPr id="3" name="Picture 3" descr="TopconLogo_W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conLogo_W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40030"/>
                  </a:xfrm>
                  <a:prstGeom prst="rect">
                    <a:avLst/>
                  </a:prstGeom>
                  <a:noFill/>
                  <a:ln>
                    <a:noFill/>
                  </a:ln>
                </pic:spPr>
              </pic:pic>
            </a:graphicData>
          </a:graphic>
          <wp14:sizeRelH relativeFrom="page">
            <wp14:pctWidth>0</wp14:pctWidth>
          </wp14:sizeRelH>
          <wp14:sizeRelV relativeFrom="page">
            <wp14:pctHeight>0</wp14:pctHeight>
          </wp14:sizeRelV>
        </wp:anchor>
      </w:drawing>
    </w:r>
    <w:r w:rsidR="00BC0588">
      <w:rPr>
        <w:rFonts w:ascii="Arial Bold" w:hAnsi="Arial Bold"/>
        <w:color w:val="808080"/>
        <w:sz w:val="28"/>
      </w:rPr>
      <w:t xml:space="preserve">  News </w:t>
    </w:r>
    <w:r w:rsidR="00BC0588" w:rsidRPr="0086621C">
      <w:rPr>
        <w:rFonts w:ascii="Arial Bold" w:hAnsi="Arial Bold"/>
        <w:color w:val="808080"/>
        <w:sz w:val="28"/>
      </w:rPr>
      <w:t>Release</w:t>
    </w:r>
  </w:p>
  <w:p w14:paraId="18DF4894" w14:textId="77777777" w:rsidR="00BC0588" w:rsidRDefault="00BC058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21"/>
    <w:rsid w:val="0000530E"/>
    <w:rsid w:val="00006C61"/>
    <w:rsid w:val="00073328"/>
    <w:rsid w:val="000872FF"/>
    <w:rsid w:val="000A332C"/>
    <w:rsid w:val="000D117E"/>
    <w:rsid w:val="00105D3C"/>
    <w:rsid w:val="00161726"/>
    <w:rsid w:val="001D47AE"/>
    <w:rsid w:val="001E3437"/>
    <w:rsid w:val="001E495F"/>
    <w:rsid w:val="00212DA1"/>
    <w:rsid w:val="0021353A"/>
    <w:rsid w:val="0022169D"/>
    <w:rsid w:val="00256C40"/>
    <w:rsid w:val="00262D58"/>
    <w:rsid w:val="002751AA"/>
    <w:rsid w:val="00276C46"/>
    <w:rsid w:val="00280851"/>
    <w:rsid w:val="00281EE2"/>
    <w:rsid w:val="002B65A9"/>
    <w:rsid w:val="002E5E21"/>
    <w:rsid w:val="002F15E6"/>
    <w:rsid w:val="002F6240"/>
    <w:rsid w:val="0032173B"/>
    <w:rsid w:val="003338DC"/>
    <w:rsid w:val="00371FE7"/>
    <w:rsid w:val="003A7243"/>
    <w:rsid w:val="003A7F30"/>
    <w:rsid w:val="003F5E34"/>
    <w:rsid w:val="00416269"/>
    <w:rsid w:val="00482490"/>
    <w:rsid w:val="005056D9"/>
    <w:rsid w:val="005378E1"/>
    <w:rsid w:val="0058710D"/>
    <w:rsid w:val="00587A94"/>
    <w:rsid w:val="005A23A0"/>
    <w:rsid w:val="005C48E8"/>
    <w:rsid w:val="006103A4"/>
    <w:rsid w:val="00616A89"/>
    <w:rsid w:val="00693151"/>
    <w:rsid w:val="006C1422"/>
    <w:rsid w:val="006E05C2"/>
    <w:rsid w:val="00731569"/>
    <w:rsid w:val="00756005"/>
    <w:rsid w:val="00763F4F"/>
    <w:rsid w:val="00771DA6"/>
    <w:rsid w:val="007D0AA2"/>
    <w:rsid w:val="007D26FD"/>
    <w:rsid w:val="007E10FF"/>
    <w:rsid w:val="008201E3"/>
    <w:rsid w:val="00821EFC"/>
    <w:rsid w:val="00850F44"/>
    <w:rsid w:val="009A47B5"/>
    <w:rsid w:val="00A157FE"/>
    <w:rsid w:val="00A26CCA"/>
    <w:rsid w:val="00A43DE6"/>
    <w:rsid w:val="00A47E24"/>
    <w:rsid w:val="00A9365C"/>
    <w:rsid w:val="00AC01C9"/>
    <w:rsid w:val="00AC09BA"/>
    <w:rsid w:val="00AC2122"/>
    <w:rsid w:val="00AE6481"/>
    <w:rsid w:val="00B402B7"/>
    <w:rsid w:val="00B64462"/>
    <w:rsid w:val="00B669F2"/>
    <w:rsid w:val="00B91A99"/>
    <w:rsid w:val="00BB19B5"/>
    <w:rsid w:val="00BC0588"/>
    <w:rsid w:val="00BE5DE2"/>
    <w:rsid w:val="00BE6A33"/>
    <w:rsid w:val="00C01690"/>
    <w:rsid w:val="00C638D1"/>
    <w:rsid w:val="00C65CB1"/>
    <w:rsid w:val="00CA6FE6"/>
    <w:rsid w:val="00CC1CFE"/>
    <w:rsid w:val="00CC2CD4"/>
    <w:rsid w:val="00CC588F"/>
    <w:rsid w:val="00CE2141"/>
    <w:rsid w:val="00CF403B"/>
    <w:rsid w:val="00CF7FC5"/>
    <w:rsid w:val="00D27F2B"/>
    <w:rsid w:val="00D3458A"/>
    <w:rsid w:val="00D47414"/>
    <w:rsid w:val="00D57F9E"/>
    <w:rsid w:val="00D647FC"/>
    <w:rsid w:val="00D8771E"/>
    <w:rsid w:val="00DA2D11"/>
    <w:rsid w:val="00DB14B2"/>
    <w:rsid w:val="00DD0A86"/>
    <w:rsid w:val="00DF7C2A"/>
    <w:rsid w:val="00E56CF3"/>
    <w:rsid w:val="00EA1744"/>
    <w:rsid w:val="00EA5B9A"/>
    <w:rsid w:val="00EB4E3C"/>
    <w:rsid w:val="00ED70D3"/>
    <w:rsid w:val="00EE1FA1"/>
    <w:rsid w:val="00EE33D2"/>
    <w:rsid w:val="00F13873"/>
    <w:rsid w:val="00F60202"/>
    <w:rsid w:val="00F72676"/>
    <w:rsid w:val="00F81B4F"/>
    <w:rsid w:val="00F86B3B"/>
    <w:rsid w:val="00F94B69"/>
    <w:rsid w:val="00FB0DA8"/>
    <w:rsid w:val="00FB146B"/>
    <w:rsid w:val="00FB318D"/>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B080C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hyperlink" Target="http://magnet-tou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Topcon Positioning Systems, Inc</vt:lpstr>
    </vt:vector>
  </TitlesOfParts>
  <Company>Topcon</Company>
  <LinksUpToDate>false</LinksUpToDate>
  <CharactersWithSpaces>2209</CharactersWithSpaces>
  <SharedDoc>false</SharedDoc>
  <HLinks>
    <vt:vector size="30"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5832814</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ariant>
        <vt:i4>8126482</vt:i4>
      </vt:variant>
      <vt:variant>
        <vt:i4>-1</vt:i4>
      </vt:variant>
      <vt:variant>
        <vt:i4>2050</vt:i4>
      </vt:variant>
      <vt:variant>
        <vt:i4>1</vt:i4>
      </vt:variant>
      <vt:variant>
        <vt:lpwstr>Topcon_Logo_Tall_Blue_Black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Topcon Positioning Systems, Inc</dc:title>
  <dc:subject/>
  <dc:creator>Staci Fitzgerald</dc:creator>
  <cp:keywords/>
  <cp:lastModifiedBy>Microsoft Office User</cp:lastModifiedBy>
  <cp:revision>3</cp:revision>
  <cp:lastPrinted>2015-03-20T18:23:00Z</cp:lastPrinted>
  <dcterms:created xsi:type="dcterms:W3CDTF">2015-04-20T15:53:00Z</dcterms:created>
  <dcterms:modified xsi:type="dcterms:W3CDTF">2015-04-20T16:23:00Z</dcterms:modified>
</cp:coreProperties>
</file>