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3B4B79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30" type="#_x0000_t75" alt="/Volumes/Docs/Publicity/Active/Press Kits for Web Upload/2017/Topcon_Press-kit_MAGNET collage/Magnet_Collage_Topcon copy.jpg" style="position:absolute;left:0;text-align:left;margin-left:150.9pt;margin-top:.85pt;width:166.55pt;height:132.75pt;z-index:1;visibility:visible">
            <v:imagedata r:id="rId7" o:title="Magnet_Collage_Topcon copy"/>
            <w10:wrap type="square"/>
          </v:shape>
        </w:pict>
      </w: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bookmarkStart w:id="0" w:name="_GoBack"/>
      <w:bookmarkEnd w:id="0"/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Default="00E92FC2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24527" w:rsidRDefault="00324527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B4B79" w:rsidRDefault="003B4B79" w:rsidP="003B4B79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</w:p>
    <w:p w:rsidR="003B4B79" w:rsidRDefault="003B4B79" w:rsidP="003B4B79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3B4B79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annuncia un software per </w:t>
      </w:r>
    </w:p>
    <w:p w:rsidR="00E92FC2" w:rsidRPr="003B4B79" w:rsidRDefault="003B4B79" w:rsidP="00910E3D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3B4B79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l'elaborazione integrat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a dei </w:t>
      </w:r>
      <w:r w:rsidRPr="003B4B79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mass data</w:t>
      </w:r>
    </w:p>
    <w:p w:rsidR="003B4B79" w:rsidRPr="003B4B79" w:rsidRDefault="003B4B79" w:rsidP="003B4B79">
      <w:pPr>
        <w:tabs>
          <w:tab w:val="left" w:pos="270"/>
        </w:tabs>
        <w:jc w:val="center"/>
        <w:rPr>
          <w:rFonts w:ascii="Arial" w:eastAsia="MS Mincho" w:hAnsi="Arial" w:cs="Arial"/>
          <w:color w:val="646363"/>
          <w:sz w:val="20"/>
          <w:szCs w:val="20"/>
          <w:lang w:val="it-IT"/>
        </w:rPr>
      </w:pPr>
    </w:p>
    <w:p w:rsidR="003B4B79" w:rsidRPr="003B4B79" w:rsidRDefault="00324527" w:rsidP="00910E3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LIVERMORE,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Calif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., USA/ CAPELLE A/D IJSSEL, Paesi Bassi –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3B4B79">
        <w:rPr>
          <w:rFonts w:ascii="Arial" w:eastAsia="MS Mincho" w:hAnsi="Arial" w:cs="Arial"/>
          <w:sz w:val="20"/>
          <w:szCs w:val="20"/>
          <w:lang w:val="it-IT"/>
        </w:rPr>
        <w:t xml:space="preserve">7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marzo 2017 – </w:t>
      </w:r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>Topcon Positioning Group annuncia che il suo sistema di soluzioni software MAGNET® è stato ampliato per offrire un pacchetto ideato per consolidare e facilitare l’ambiente di lavoro per l’elaborazione e la visualizzazione di dati “</w:t>
      </w:r>
      <w:proofErr w:type="spellStart"/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>point</w:t>
      </w:r>
      <w:proofErr w:type="spellEnd"/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>cloud</w:t>
      </w:r>
      <w:proofErr w:type="spellEnd"/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>”: MAGNET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3B4B79" w:rsidRPr="003B4B79">
        <w:rPr>
          <w:rFonts w:ascii="Arial" w:eastAsia="MS Mincho" w:hAnsi="Arial" w:cs="Arial"/>
          <w:sz w:val="20"/>
          <w:szCs w:val="20"/>
          <w:lang w:val="it-IT"/>
        </w:rPr>
        <w:t xml:space="preserve">Collage. </w:t>
      </w: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B4B79" w:rsidRPr="003B4B79" w:rsidRDefault="003B4B79" w:rsidP="00016BB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B4B79">
        <w:rPr>
          <w:rFonts w:ascii="Arial" w:eastAsia="MS Mincho" w:hAnsi="Arial" w:cs="Arial"/>
          <w:sz w:val="20"/>
          <w:szCs w:val="20"/>
          <w:lang w:val="it-IT"/>
        </w:rPr>
        <w:t>Il sistema offre una soluzione “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all-in-one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>” per professionisti che usano laser scanner, dispositivi di mobile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eastAsia="MS Mincho" w:hAnsi="Arial" w:cs="Arial"/>
          <w:sz w:val="20"/>
          <w:szCs w:val="20"/>
          <w:lang w:val="it-IT"/>
        </w:rPr>
        <w:t>mapping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, moderni scanner per la pavimentazione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stradale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e strumenti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topografici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tradizionali. </w:t>
      </w: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B4B79" w:rsidRPr="003B4B79" w:rsidRDefault="003B4B79" w:rsidP="00910E3D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“Con MAGNET Collage, gli utenti di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mass data (grandi moli di dati)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con sensori multipli, come strumenti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 xml:space="preserve">mobile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e statici, possono rimanere in un unico ambiente software per elaborare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nuvole di punti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e immagini, ha affermato Jason 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Hallett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, vice presidente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di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>Topcon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016BB2" w:rsidRPr="00016BB2">
        <w:rPr>
          <w:rFonts w:ascii="Arial" w:eastAsia="MS Mincho" w:hAnsi="Arial" w:cs="Arial"/>
          <w:sz w:val="20"/>
          <w:szCs w:val="20"/>
          <w:lang w:val="it-IT"/>
        </w:rPr>
        <w:t xml:space="preserve">global </w:t>
      </w:r>
      <w:proofErr w:type="spellStart"/>
      <w:r w:rsidR="00016BB2" w:rsidRPr="00016BB2">
        <w:rPr>
          <w:rFonts w:ascii="Arial" w:eastAsia="MS Mincho" w:hAnsi="Arial" w:cs="Arial"/>
          <w:sz w:val="20"/>
          <w:szCs w:val="20"/>
          <w:lang w:val="it-IT"/>
        </w:rPr>
        <w:t>product</w:t>
      </w:r>
      <w:proofErr w:type="spellEnd"/>
      <w:r w:rsidR="00016BB2" w:rsidRPr="00016BB2">
        <w:rPr>
          <w:rFonts w:ascii="Arial" w:eastAsia="MS Mincho" w:hAnsi="Arial" w:cs="Arial"/>
          <w:sz w:val="20"/>
          <w:szCs w:val="20"/>
          <w:lang w:val="it-IT"/>
        </w:rPr>
        <w:t xml:space="preserve"> management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>.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“Tradizionalmente ciascun sensore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'mass data'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richiederebbe un software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>specifico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.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Ora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>, con Collage,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l’elaborazione può essere completata più rapidamente unendo tutti i dati 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grezzi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>di scansione</w:t>
      </w:r>
      <w:r w:rsidR="00016BB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in un unico ambiente 3D olistico.”   </w:t>
      </w: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B4B79" w:rsidRPr="003B4B79" w:rsidRDefault="003B4B79" w:rsidP="002C0DEA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B4B79">
        <w:rPr>
          <w:rFonts w:ascii="Arial" w:eastAsia="MS Mincho" w:hAnsi="Arial" w:cs="Arial"/>
          <w:sz w:val="20"/>
          <w:szCs w:val="20"/>
          <w:lang w:val="it-IT"/>
        </w:rPr>
        <w:t>Il sistema usa funzionalità avanzat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e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 di 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matching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 (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correlazione automatica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)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 xml:space="preserve">e </w:t>
      </w:r>
      <w:r w:rsidR="00910E3D" w:rsidRPr="003B4B79">
        <w:rPr>
          <w:rFonts w:ascii="Arial" w:eastAsia="MS Mincho" w:hAnsi="Arial" w:cs="Arial"/>
          <w:sz w:val="20"/>
          <w:szCs w:val="20"/>
          <w:lang w:val="it-IT"/>
        </w:rPr>
        <w:t>controllo a terra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,</w:t>
      </w:r>
      <w:r w:rsidR="00910E3D" w:rsidRPr="003B4B79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per risultati più veloci. “Collage consente agli utenti di affidarsi a un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'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cloud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matching</w:t>
      </w:r>
      <w:proofErr w:type="spellEnd"/>
      <w:r w:rsidR="00910E3D">
        <w:rPr>
          <w:rFonts w:ascii="Arial" w:eastAsia="MS Mincho" w:hAnsi="Arial" w:cs="Arial"/>
          <w:sz w:val="20"/>
          <w:szCs w:val="20"/>
          <w:lang w:val="it-IT"/>
        </w:rPr>
        <w:t>'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 xml:space="preserve">automatico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con controllo a  terra, anziché passare attraverso il processo </w:t>
      </w:r>
      <w:r w:rsidR="002C0DEA">
        <w:rPr>
          <w:rFonts w:ascii="Arial" w:eastAsia="MS Mincho" w:hAnsi="Arial" w:cs="Arial"/>
          <w:sz w:val="20"/>
          <w:szCs w:val="20"/>
          <w:lang w:val="it-IT"/>
        </w:rPr>
        <w:t xml:space="preserve">di </w:t>
      </w:r>
      <w:r w:rsidR="00910E3D">
        <w:rPr>
          <w:rFonts w:ascii="Arial" w:eastAsia="MS Mincho" w:hAnsi="Arial" w:cs="Arial"/>
          <w:sz w:val="20"/>
          <w:szCs w:val="20"/>
          <w:lang w:val="it-IT"/>
        </w:rPr>
        <w:t>collega</w:t>
      </w:r>
      <w:r w:rsidR="002C0DEA">
        <w:rPr>
          <w:rFonts w:ascii="Arial" w:eastAsia="MS Mincho" w:hAnsi="Arial" w:cs="Arial"/>
          <w:sz w:val="20"/>
          <w:szCs w:val="20"/>
          <w:lang w:val="it-IT"/>
        </w:rPr>
        <w:t xml:space="preserve">mento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>manual</w:t>
      </w:r>
      <w:r w:rsidR="002C0DEA">
        <w:rPr>
          <w:rFonts w:ascii="Arial" w:eastAsia="MS Mincho" w:hAnsi="Arial" w:cs="Arial"/>
          <w:sz w:val="20"/>
          <w:szCs w:val="20"/>
          <w:lang w:val="it-IT"/>
        </w:rPr>
        <w:t xml:space="preserve">e di </w:t>
      </w: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più 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cloud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 tra loro,” ha affermato </w:t>
      </w:r>
      <w:proofErr w:type="spellStart"/>
      <w:r w:rsidRPr="003B4B79">
        <w:rPr>
          <w:rFonts w:ascii="Arial" w:eastAsia="MS Mincho" w:hAnsi="Arial" w:cs="Arial"/>
          <w:sz w:val="20"/>
          <w:szCs w:val="20"/>
          <w:lang w:val="it-IT"/>
        </w:rPr>
        <w:t>Hallett</w:t>
      </w:r>
      <w:proofErr w:type="spellEnd"/>
      <w:r w:rsidRPr="003B4B79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Collage è stato realizzato per garantire un’elaborazione fino a otto volte più veloce dei dati di scansione rispetto alle soluzioni disponibili fino ad oggi. </w:t>
      </w: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B4B79" w:rsidRPr="003B4B79" w:rsidRDefault="003B4B79" w:rsidP="003B4B79">
      <w:pPr>
        <w:tabs>
          <w:tab w:val="left" w:pos="270"/>
        </w:tabs>
        <w:rPr>
          <w:rFonts w:ascii="Arial" w:eastAsia="MS Mincho" w:hAnsi="Arial" w:cs="Arial"/>
          <w:bCs/>
          <w:sz w:val="20"/>
          <w:szCs w:val="20"/>
          <w:lang w:val="it-IT"/>
        </w:rPr>
      </w:pPr>
      <w:r w:rsidRPr="003B4B79">
        <w:rPr>
          <w:rFonts w:ascii="Arial" w:eastAsia="MS Mincho" w:hAnsi="Arial" w:cs="Arial"/>
          <w:sz w:val="20"/>
          <w:szCs w:val="20"/>
          <w:lang w:val="it-IT"/>
        </w:rPr>
        <w:t xml:space="preserve">Per maggiori informazioni, visitare il sito </w:t>
      </w:r>
      <w:hyperlink r:id="rId8" w:history="1">
        <w:proofErr w:type="spellStart"/>
        <w:r w:rsidRPr="003B4B79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topconpositioning.com</w:t>
        </w:r>
      </w:hyperlink>
      <w:r w:rsidRPr="003B4B79">
        <w:rPr>
          <w:rFonts w:ascii="Arial" w:eastAsia="MS Mincho" w:hAnsi="Arial" w:cs="Arial"/>
          <w:sz w:val="20"/>
          <w:szCs w:val="20"/>
          <w:lang w:val="it-IT"/>
        </w:rPr>
        <w:t>.</w:t>
      </w:r>
      <w:proofErr w:type="spellEnd"/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10E3D" w:rsidRDefault="00910E3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3A1823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3A1823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3A1823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2C0DEA" w:rsidRDefault="00E92FC2" w:rsidP="002C0DEA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 #  #</w:t>
      </w:r>
    </w:p>
    <w:p w:rsidR="002C0DEA" w:rsidRPr="00E92FC2" w:rsidRDefault="002C0DEA" w:rsidP="002C0DEA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3B4B79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3B4B79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3B4B79" w:rsidRDefault="003A1823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1" w:history="1">
        <w:r w:rsidR="006B1D22" w:rsidRPr="003B4B79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E92FC2" w:rsidRDefault="001631B8" w:rsidP="00910E3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sectPr w:rsidR="00E92FC2" w:rsidSect="0009234C">
      <w:head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19" w:rsidRDefault="009A7A19">
      <w:r>
        <w:separator/>
      </w:r>
    </w:p>
  </w:endnote>
  <w:endnote w:type="continuationSeparator" w:id="0">
    <w:p w:rsidR="009A7A19" w:rsidRDefault="009A7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19" w:rsidRDefault="009A7A19">
      <w:r>
        <w:separator/>
      </w:r>
    </w:p>
  </w:footnote>
  <w:footnote w:type="continuationSeparator" w:id="0">
    <w:p w:rsidR="009A7A19" w:rsidRDefault="009A7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3A1823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3A1823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16BB2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51AA"/>
    <w:rsid w:val="00283421"/>
    <w:rsid w:val="00284512"/>
    <w:rsid w:val="002A011A"/>
    <w:rsid w:val="002A0183"/>
    <w:rsid w:val="002A3171"/>
    <w:rsid w:val="002A6605"/>
    <w:rsid w:val="002B2158"/>
    <w:rsid w:val="002B2CC9"/>
    <w:rsid w:val="002B65A9"/>
    <w:rsid w:val="002B673A"/>
    <w:rsid w:val="002C0DEA"/>
    <w:rsid w:val="002E2BC8"/>
    <w:rsid w:val="002E5E21"/>
    <w:rsid w:val="002F1192"/>
    <w:rsid w:val="002F294D"/>
    <w:rsid w:val="00313F6E"/>
    <w:rsid w:val="0032173B"/>
    <w:rsid w:val="003217F4"/>
    <w:rsid w:val="003243DB"/>
    <w:rsid w:val="00324527"/>
    <w:rsid w:val="00340920"/>
    <w:rsid w:val="00353911"/>
    <w:rsid w:val="00355294"/>
    <w:rsid w:val="003801D4"/>
    <w:rsid w:val="00382D99"/>
    <w:rsid w:val="0039761D"/>
    <w:rsid w:val="003A1823"/>
    <w:rsid w:val="003A6C06"/>
    <w:rsid w:val="003A7243"/>
    <w:rsid w:val="003B1941"/>
    <w:rsid w:val="003B49D6"/>
    <w:rsid w:val="003B4B79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07E0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10E3D"/>
    <w:rsid w:val="009434F4"/>
    <w:rsid w:val="00945FCB"/>
    <w:rsid w:val="00956EF7"/>
    <w:rsid w:val="00963EA7"/>
    <w:rsid w:val="009666D5"/>
    <w:rsid w:val="00975493"/>
    <w:rsid w:val="009864E1"/>
    <w:rsid w:val="009964DE"/>
    <w:rsid w:val="00997FC7"/>
    <w:rsid w:val="009A7A19"/>
    <w:rsid w:val="009C441F"/>
    <w:rsid w:val="009D22F7"/>
    <w:rsid w:val="009D63D1"/>
    <w:rsid w:val="00A02B51"/>
    <w:rsid w:val="00A06D66"/>
    <w:rsid w:val="00A25B25"/>
    <w:rsid w:val="00A32C8A"/>
    <w:rsid w:val="00A406DB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rpComm@topcon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lobal.top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2017-03-20T10:01:00Z</dcterms:modified>
</cp:coreProperties>
</file>