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E9" w:rsidRDefault="00F12D6C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  <w:color w:val="0079C2"/>
          <w:sz w:val="36"/>
          <w:szCs w:val="36"/>
          <w:lang w:val="it-IT" w:eastAsia="zh-TW"/>
        </w:rPr>
        <w:pict w14:anchorId="6B20A4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49.65pt;margin-top:12.75pt;width:168.5pt;height:111.85pt;z-index:1">
            <v:imagedata r:id="rId7" o:title=""/>
            <w10:wrap type="square"/>
          </v:shape>
        </w:pict>
      </w: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C363F4" w:rsidRDefault="00C363F4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E92FC2" w:rsidRPr="002739DA" w:rsidRDefault="00F12D6C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  <w:r w:rsidRPr="00F12D6C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Topcon presenta le soluzioni "Intersezione tra </w:t>
      </w:r>
      <w:r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I</w:t>
      </w:r>
      <w:r w:rsidRPr="00F12D6C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nfrastruttura e </w:t>
      </w:r>
      <w:r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T</w:t>
      </w:r>
      <w:r w:rsidRPr="00F12D6C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ecnologia" a</w:t>
      </w:r>
      <w:r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 </w:t>
      </w:r>
      <w:r w:rsidRPr="00F12D6C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I</w:t>
      </w:r>
      <w:r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NTERGEO</w:t>
      </w:r>
      <w:r w:rsidRPr="00F12D6C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 2017 </w:t>
      </w:r>
      <w:r w:rsidR="00C363F4" w:rsidRPr="00C363F4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 </w:t>
      </w:r>
      <w:r w:rsidR="00482FF2" w:rsidRPr="00482FF2">
        <w:rPr>
          <w:rFonts w:ascii="Arial" w:eastAsia="PMingLiU" w:hAnsi="Arial"/>
          <w:b/>
          <w:bCs/>
          <w:color w:val="0079C2"/>
          <w:sz w:val="36"/>
          <w:szCs w:val="36"/>
        </w:rPr>
        <w:fldChar w:fldCharType="begin"/>
      </w:r>
      <w:r w:rsidR="00482FF2" w:rsidRPr="00482FF2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instrText xml:space="preserve"> SUBJECT  \* MERGEFORMAT </w:instrText>
      </w:r>
      <w:r w:rsidR="00482FF2" w:rsidRPr="00482FF2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fldChar w:fldCharType="end"/>
      </w:r>
    </w:p>
    <w:p w:rsid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i/>
          <w:sz w:val="20"/>
          <w:szCs w:val="20"/>
          <w:lang w:val="it-IT"/>
        </w:rPr>
        <w:t xml:space="preserve">LIVERMORE, </w:t>
      </w:r>
      <w:proofErr w:type="spellStart"/>
      <w:r w:rsidRPr="00F12D6C">
        <w:rPr>
          <w:rFonts w:ascii="Arial" w:hAnsi="Arial" w:cs="Arial"/>
          <w:i/>
          <w:sz w:val="20"/>
          <w:szCs w:val="20"/>
          <w:lang w:val="it-IT"/>
        </w:rPr>
        <w:t>Calif</w:t>
      </w:r>
      <w:proofErr w:type="spellEnd"/>
      <w:r w:rsidRPr="00F12D6C">
        <w:rPr>
          <w:rFonts w:ascii="Arial" w:hAnsi="Arial" w:cs="Arial"/>
          <w:i/>
          <w:sz w:val="20"/>
          <w:szCs w:val="20"/>
          <w:lang w:val="it-IT"/>
        </w:rPr>
        <w:t xml:space="preserve">., USA/ CAPELLE A/D IJSSEL, Paesi Bassi – </w:t>
      </w:r>
      <w:proofErr w:type="gramStart"/>
      <w:r w:rsidRPr="00F12D6C">
        <w:rPr>
          <w:rFonts w:ascii="Arial" w:hAnsi="Arial" w:cs="Arial"/>
          <w:i/>
          <w:sz w:val="20"/>
          <w:szCs w:val="20"/>
          <w:lang w:val="it-IT"/>
        </w:rPr>
        <w:t>Mercoledì</w:t>
      </w:r>
      <w:proofErr w:type="gramEnd"/>
      <w:r w:rsidRPr="00F12D6C">
        <w:rPr>
          <w:rFonts w:ascii="Arial" w:hAnsi="Arial" w:cs="Arial"/>
          <w:i/>
          <w:sz w:val="20"/>
          <w:szCs w:val="20"/>
          <w:lang w:val="it-IT"/>
        </w:rPr>
        <w:t xml:space="preserve"> 27 settembre 2017</w:t>
      </w:r>
      <w:r w:rsidRPr="00F12D6C">
        <w:rPr>
          <w:rFonts w:ascii="Arial" w:hAnsi="Arial" w:cs="Arial"/>
          <w:color w:val="FF0000"/>
          <w:sz w:val="20"/>
          <w:szCs w:val="20"/>
          <w:lang w:val="it-IT"/>
        </w:rPr>
        <w:t xml:space="preserve"> </w:t>
      </w:r>
      <w:r w:rsidRPr="00F12D6C">
        <w:rPr>
          <w:rFonts w:ascii="Arial" w:hAnsi="Arial" w:cs="Arial"/>
          <w:sz w:val="20"/>
          <w:szCs w:val="20"/>
          <w:lang w:val="it-IT"/>
        </w:rPr>
        <w:t>– Topcon Positioning Group ha presentato il concetto di “</w:t>
      </w:r>
      <w:hyperlink r:id="rId8" w:history="1">
        <w:r w:rsidRPr="00F12D6C">
          <w:rPr>
            <w:rFonts w:ascii="Arial" w:hAnsi="Arial" w:cs="Arial"/>
            <w:color w:val="0000FF"/>
            <w:sz w:val="20"/>
            <w:szCs w:val="20"/>
            <w:u w:val="single"/>
            <w:lang w:val="it-IT"/>
          </w:rPr>
          <w:t>Intersezione tra infrastruttura e tecnologia</w:t>
        </w:r>
      </w:hyperlink>
      <w:r w:rsidRPr="00F12D6C">
        <w:rPr>
          <w:rFonts w:ascii="Arial" w:hAnsi="Arial" w:cs="Arial"/>
          <w:sz w:val="20"/>
          <w:szCs w:val="20"/>
          <w:lang w:val="it-IT"/>
        </w:rPr>
        <w:t xml:space="preserve">” all’INTERGEO di quest’anno, analizzando le esigenze attuali e future del settore delle infrastrutture e spiegando come le tecnologie avanzate di Topcon siano in grado di migliorarne la produttività. 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 xml:space="preserve"> “In tutto il mondo, lo sviluppo e la gestione di un patrimonio infrastrutturale obsoleto si sta traducendo in un aumento considerevole della domanda di professionisti delle costruzioni”, ha spiegato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Ian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 Stilgoe, vicepresidente della divisione GeoPositioning Europe di Topcon Positioning Group. L’evento fieristico ha visto Topcon concentrarsi sulla condivisione di prodotti e soluzioni progettati per raggiungere quelle efficienze necessarie a soddisfare la forte domanda in questo settore.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>“Con l’aumentare della densità di popolazione associata alla crescita urbana e alla modernizzazione delle aree in via di sviluppo, cresce in misura esponenziale la domanda di nuove infrastrutture”, spiega Stilgoe. “Il divario tra i budget disponibili per finanziare le infrastrutture richieste e le risorse a disposizione per progettarle e costruirle, può essere colmato attraverso l’aumento della produttività e la riduzione degli scarti e rifiuti nelle pratiche edilizie globali. L’unico modo fattibile per raggiungere questo obiettivo è quello d’integrare le tecnologie intelligenti nelle costruzioni”.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 xml:space="preserve">Il tema delle infrastrutture è stato approfondito anche nella presentazione collettiva tenuta da Bentley e Topcon nell’ambito del forum Smart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Cities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 Solution. All’evento Topcon ha inoltre presentato, in collaborazione con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Solius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, tecnologie innovative all’interno di una cupola per la realtà virtuale. 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 xml:space="preserve">Il team Topcon ha tenuto poi altre relazioni e dimostrazioni su temi quali l’ispezione e il monitoraggio tramite sistemi UAV, l’acquisizione di mass data, e soluzioni BIM per edifici, infrastrutture e modelli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smart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 city.</w:t>
      </w:r>
    </w:p>
    <w:p w:rsid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 xml:space="preserve">Lo stand Topcon ha presentato le ultime tecnologie, tra cui la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Elite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Survey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 Suite, il sistema di monitoraggio delle deformazioni Delta, il software di acquisizione dati per </w:t>
      </w:r>
      <w:proofErr w:type="spellStart"/>
      <w:r w:rsidRPr="00F12D6C">
        <w:rPr>
          <w:rFonts w:ascii="Arial" w:hAnsi="Arial" w:cs="Arial"/>
          <w:sz w:val="20"/>
          <w:szCs w:val="20"/>
          <w:lang w:val="it-IT"/>
        </w:rPr>
        <w:t>SmoothRide</w:t>
      </w:r>
      <w:proofErr w:type="spellEnd"/>
      <w:r w:rsidRPr="00F12D6C">
        <w:rPr>
          <w:rFonts w:ascii="Arial" w:hAnsi="Arial" w:cs="Arial"/>
          <w:sz w:val="20"/>
          <w:szCs w:val="20"/>
          <w:lang w:val="it-IT"/>
        </w:rPr>
        <w:t xml:space="preserve">™, la soluzione per migliorare il processo del rifacimento stradale e un nuovo servizio basato su web per l’elaborazione integrata dei mass data con la versione desktop del software MAGNET® Collage. 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  <w:r w:rsidRPr="00F12D6C">
        <w:rPr>
          <w:rFonts w:ascii="Arial" w:hAnsi="Arial" w:cs="Arial"/>
          <w:sz w:val="20"/>
          <w:szCs w:val="20"/>
          <w:lang w:val="it-IT"/>
        </w:rPr>
        <w:lastRenderedPageBreak/>
        <w:t>Gli esperti del team hanno dimostrato come l’adattamento a nuovi metodi di lavoro e l’integrazione di hardware e software possano garantire una maggiore efficienza dei progetti, migliorando le modalità di acquisizione, gestione e condivisione dei dati.</w:t>
      </w:r>
    </w:p>
    <w:p w:rsidR="00F12D6C" w:rsidRPr="00F12D6C" w:rsidRDefault="00F12D6C" w:rsidP="00F12D6C">
      <w:pPr>
        <w:tabs>
          <w:tab w:val="left" w:pos="270"/>
        </w:tabs>
        <w:spacing w:after="240" w:line="276" w:lineRule="auto"/>
        <w:rPr>
          <w:rFonts w:ascii="Arial" w:hAnsi="Arial" w:cs="Arial"/>
          <w:sz w:val="20"/>
          <w:szCs w:val="20"/>
          <w:lang w:val="it-IT"/>
        </w:rPr>
      </w:pPr>
      <w:r w:rsidRPr="00F12D6C">
        <w:rPr>
          <w:rFonts w:ascii="Arial" w:hAnsi="Arial" w:cs="Arial"/>
          <w:sz w:val="20"/>
          <w:szCs w:val="20"/>
          <w:lang w:val="it-IT"/>
        </w:rPr>
        <w:t xml:space="preserve">Per ulteriori informazioni sulle tecnologie di Topcon consultare la pagina: </w:t>
      </w:r>
      <w:hyperlink r:id="rId9" w:history="1">
        <w:r w:rsidRPr="00F12D6C">
          <w:rPr>
            <w:rFonts w:ascii="Arial" w:hAnsi="Arial" w:cs="Arial"/>
            <w:color w:val="0000FF"/>
            <w:sz w:val="20"/>
            <w:szCs w:val="20"/>
            <w:u w:val="single"/>
            <w:lang w:val="it-IT"/>
          </w:rPr>
          <w:t>topconpositioning.com/intergeo-2017</w:t>
        </w:r>
      </w:hyperlink>
      <w:r w:rsidRPr="00F12D6C">
        <w:rPr>
          <w:rFonts w:ascii="Arial" w:hAnsi="Arial" w:cs="Arial"/>
          <w:sz w:val="20"/>
          <w:szCs w:val="20"/>
          <w:lang w:val="it-IT"/>
        </w:rPr>
        <w:t>.</w:t>
      </w:r>
    </w:p>
    <w:p w:rsidR="00C363F4" w:rsidRDefault="00C363F4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C363F4" w:rsidRDefault="00C363F4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7543F2" w:rsidRPr="002739DA" w:rsidRDefault="007543F2" w:rsidP="00FE7594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  <w:lang w:val="it-IT"/>
        </w:rPr>
      </w:pP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t>Informazioni su Topcon Positioning Group</w:t>
      </w: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br/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Livermore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California, USA (</w:t>
      </w:r>
      <w:hyperlink r:id="rId10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La sua sede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centrale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europea </w:t>
      </w:r>
      <w:r w:rsidR="00FE7594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è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Capelle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a/d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IJssel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Paesi Bassi (</w:t>
      </w:r>
      <w:hyperlink r:id="rId11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topconpositioning.eu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soluzioni per il posizionamento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di precisione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>costruzioni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cartografia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GIS,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asset management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mercati di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mobile control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. 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I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suoi marchi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includono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Tierra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Digi-Star, RDS Technologies</w:t>
      </w:r>
      <w:r w:rsidR="00DF6F75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NORAC. Topcon Corporation (</w:t>
      </w:r>
      <w:hyperlink r:id="rId12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), fondata nel 1932, è quotata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alla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Borsa di Tokyo</w:t>
      </w:r>
      <w:r w:rsidR="00F27E2D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(7732). </w:t>
      </w:r>
    </w:p>
    <w:p w:rsidR="00482FF2" w:rsidRDefault="00482FF2" w:rsidP="009A0BF0">
      <w:pPr>
        <w:tabs>
          <w:tab w:val="left" w:pos="270"/>
        </w:tabs>
        <w:jc w:val="center"/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9A0BF0">
      <w:pPr>
        <w:tabs>
          <w:tab w:val="left" w:pos="270"/>
        </w:tabs>
        <w:jc w:val="center"/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482F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482FF2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482FF2" w:rsidRDefault="00616433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3" w:history="1">
        <w:r w:rsidR="006B1D22" w:rsidRPr="00482FF2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Europe: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E92FC2" w:rsidRPr="002739DA" w:rsidRDefault="001631B8" w:rsidP="00733E9B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</w:rPr>
      </w:pPr>
      <w:r w:rsidRPr="002739DA">
        <w:rPr>
          <w:rFonts w:ascii="Arial" w:hAnsi="Arial" w:cs="Arial"/>
          <w:color w:val="808080"/>
          <w:sz w:val="14"/>
          <w:szCs w:val="14"/>
        </w:rPr>
        <w:t>Italia: Massimiliano Toppi</w:t>
      </w:r>
      <w:r w:rsidR="00733E9B" w:rsidRPr="002739DA">
        <w:rPr>
          <w:rFonts w:ascii="Arial" w:hAnsi="Arial" w:cs="Arial"/>
          <w:color w:val="808080"/>
          <w:sz w:val="14"/>
          <w:szCs w:val="14"/>
        </w:rPr>
        <w:t xml:space="preserve">, </w:t>
      </w:r>
      <w:r w:rsidR="007543F2" w:rsidRPr="002739DA">
        <w:rPr>
          <w:rFonts w:ascii="Arial" w:hAnsi="Arial" w:cs="Arial"/>
          <w:color w:val="808080"/>
          <w:sz w:val="14"/>
          <w:szCs w:val="14"/>
        </w:rPr>
        <w:t>+</w:t>
      </w:r>
      <w:r w:rsidRPr="002739DA">
        <w:rPr>
          <w:rFonts w:ascii="Arial" w:hAnsi="Arial" w:cs="Arial"/>
          <w:color w:val="808080"/>
          <w:sz w:val="14"/>
          <w:szCs w:val="14"/>
        </w:rPr>
        <w:t>39 071 213 25 211</w:t>
      </w:r>
    </w:p>
    <w:sectPr w:rsidR="00E92FC2" w:rsidRPr="002739DA" w:rsidSect="0009234C">
      <w:headerReference w:type="first" r:id="rId14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33" w:rsidRDefault="00616433">
      <w:r>
        <w:separator/>
      </w:r>
    </w:p>
  </w:endnote>
  <w:endnote w:type="continuationSeparator" w:id="0">
    <w:p w:rsidR="00616433" w:rsidRDefault="0061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33" w:rsidRDefault="00616433">
      <w:r>
        <w:separator/>
      </w:r>
    </w:p>
  </w:footnote>
  <w:footnote w:type="continuationSeparator" w:id="0">
    <w:p w:rsidR="00616433" w:rsidRDefault="00616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F2" w:rsidRPr="00EB1000" w:rsidRDefault="00616433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E5B"/>
    <w:rsid w:val="00006C61"/>
    <w:rsid w:val="00015300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39DA"/>
    <w:rsid w:val="002751AA"/>
    <w:rsid w:val="00283421"/>
    <w:rsid w:val="00284512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82FF2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6433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7D4DC6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A0BF0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363F4"/>
    <w:rsid w:val="00C57A15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DF6F75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12D6C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39F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F1016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rsid w:val="0061580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ntergeo-2017" TargetMode="External"/><Relationship Id="rId13" Type="http://schemas.openxmlformats.org/officeDocument/2006/relationships/hyperlink" Target="mailto:CorpComm@topco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global.topcon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pconpositioning.e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pconpositioning.com/intergeo-2017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2017-10-04T10:48:00Z</dcterms:modified>
</cp:coreProperties>
</file>